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98F76" w14:textId="170DC767" w:rsidR="00B36487" w:rsidRPr="00A25BC7" w:rsidRDefault="00F8310C" w:rsidP="00B36487">
      <w:pPr>
        <w:pStyle w:val="Titulnstrana"/>
      </w:pPr>
      <w:r>
        <w:t xml:space="preserve"> </w:t>
      </w:r>
      <w:r w:rsidR="00B36487" w:rsidRPr="00A25BC7">
        <w:t>Ministerstvo pro místní rozvoj</w:t>
      </w:r>
    </w:p>
    <w:p w14:paraId="15716D66" w14:textId="77777777" w:rsidR="00B36487" w:rsidRPr="00A25BC7" w:rsidRDefault="00B36487" w:rsidP="00B36487">
      <w:pPr>
        <w:pStyle w:val="Titulnstrana"/>
      </w:pPr>
      <w:r w:rsidRPr="00A25BC7">
        <w:t>Národní orgán pro koordinaci</w:t>
      </w:r>
    </w:p>
    <w:p w14:paraId="3B7E9921" w14:textId="77777777" w:rsidR="00B36487" w:rsidRPr="008F4885" w:rsidRDefault="00B36487" w:rsidP="00B36487">
      <w:pPr>
        <w:pStyle w:val="Titulnstrana"/>
      </w:pPr>
    </w:p>
    <w:p w14:paraId="02C54DE0" w14:textId="77777777" w:rsidR="00B36487" w:rsidRPr="008F4885" w:rsidRDefault="00B36487" w:rsidP="00B36487">
      <w:pPr>
        <w:pStyle w:val="Titulnstrana"/>
      </w:pPr>
    </w:p>
    <w:p w14:paraId="66493768" w14:textId="6A4E027A" w:rsidR="00B36487" w:rsidRPr="008F4885" w:rsidRDefault="00F8310C" w:rsidP="00B36487">
      <w:pPr>
        <w:pStyle w:val="Titulnstrana"/>
      </w:pPr>
      <w:r>
        <w:t xml:space="preserve"> </w:t>
      </w:r>
    </w:p>
    <w:p w14:paraId="21DF70FE" w14:textId="77777777" w:rsidR="00B36487" w:rsidRPr="008F4885" w:rsidRDefault="00B36487" w:rsidP="00B36487">
      <w:pPr>
        <w:pStyle w:val="Titulnstrana"/>
      </w:pPr>
    </w:p>
    <w:p w14:paraId="13FE9372" w14:textId="77777777" w:rsidR="00B36487" w:rsidRPr="008F4885" w:rsidRDefault="00B36487" w:rsidP="00B36487">
      <w:pPr>
        <w:pStyle w:val="Titulnstrana"/>
      </w:pPr>
    </w:p>
    <w:p w14:paraId="286B47B8" w14:textId="77777777" w:rsidR="00B36487" w:rsidRDefault="00B36487" w:rsidP="00B36487">
      <w:pPr>
        <w:pStyle w:val="Titulnstrana"/>
      </w:pPr>
    </w:p>
    <w:p w14:paraId="36AB2660" w14:textId="77777777" w:rsidR="00B36487" w:rsidRDefault="00B36487" w:rsidP="00B36487">
      <w:pPr>
        <w:pStyle w:val="Titulnstrana"/>
      </w:pPr>
    </w:p>
    <w:p w14:paraId="1F66EB89" w14:textId="77777777" w:rsidR="00B36487" w:rsidRPr="0041363C" w:rsidRDefault="00B36487" w:rsidP="00B36487">
      <w:pPr>
        <w:pStyle w:val="Titulnstrana"/>
        <w:rPr>
          <w:strike/>
        </w:rPr>
      </w:pPr>
    </w:p>
    <w:p w14:paraId="4A66AB2E" w14:textId="77777777" w:rsidR="00B36487" w:rsidRPr="008F4885" w:rsidRDefault="00B36487" w:rsidP="00B36487">
      <w:pPr>
        <w:pStyle w:val="Titulnstrana"/>
      </w:pPr>
    </w:p>
    <w:p w14:paraId="2A6EA6A1" w14:textId="6AA4EB7C" w:rsidR="00B36487" w:rsidRPr="00B474C2" w:rsidRDefault="00B474C2" w:rsidP="00B36487">
      <w:pPr>
        <w:pStyle w:val="Titulnstrana"/>
        <w:rPr>
          <w:sz w:val="32"/>
          <w:szCs w:val="32"/>
        </w:rPr>
      </w:pPr>
      <w:r w:rsidRPr="00B474C2">
        <w:rPr>
          <w:rFonts w:eastAsia="Calibri"/>
          <w:sz w:val="32"/>
          <w:szCs w:val="32"/>
        </w:rPr>
        <w:t>Stav implementace programů fondů EU a příprava nového programového období</w:t>
      </w:r>
    </w:p>
    <w:p w14:paraId="71FB44A7" w14:textId="77777777" w:rsidR="00B36487" w:rsidRPr="008F4885" w:rsidRDefault="00B36487" w:rsidP="00B36487">
      <w:pPr>
        <w:pStyle w:val="Titulnstrana"/>
      </w:pPr>
    </w:p>
    <w:p w14:paraId="5409C9C3" w14:textId="587984F5" w:rsidR="00EF5B64" w:rsidRPr="00132A9B" w:rsidRDefault="00EF5B64" w:rsidP="00EF5B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32A9B">
        <w:rPr>
          <w:rFonts w:ascii="Arial" w:eastAsia="Calibri" w:hAnsi="Arial" w:cs="Arial"/>
          <w:sz w:val="24"/>
          <w:szCs w:val="24"/>
        </w:rPr>
        <w:t>Podklad pro jednání</w:t>
      </w:r>
      <w:r w:rsidR="00B474C2">
        <w:rPr>
          <w:rFonts w:ascii="Arial" w:eastAsia="Calibri" w:hAnsi="Arial" w:cs="Arial"/>
          <w:sz w:val="24"/>
          <w:szCs w:val="24"/>
        </w:rPr>
        <w:t xml:space="preserve"> plenárního zasedání</w:t>
      </w:r>
      <w:r w:rsidRPr="00132A9B">
        <w:rPr>
          <w:rFonts w:ascii="Arial" w:eastAsia="Calibri" w:hAnsi="Arial" w:cs="Arial"/>
          <w:sz w:val="24"/>
          <w:szCs w:val="24"/>
        </w:rPr>
        <w:t xml:space="preserve"> RHSD ČR</w:t>
      </w:r>
    </w:p>
    <w:p w14:paraId="23BA2386" w14:textId="168E2BEA" w:rsidR="008E45AE" w:rsidRDefault="008E45AE" w:rsidP="00B36487">
      <w:pPr>
        <w:spacing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6B937D16" w14:textId="77777777" w:rsidR="008E45AE" w:rsidRDefault="008E45AE" w:rsidP="00B36487">
      <w:pPr>
        <w:spacing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736D683F" w14:textId="77777777" w:rsidR="00B36487" w:rsidRPr="008F4885" w:rsidRDefault="00B36487" w:rsidP="00B36487">
      <w:pPr>
        <w:pStyle w:val="Titulnstrana"/>
      </w:pPr>
    </w:p>
    <w:p w14:paraId="474531F9" w14:textId="77777777" w:rsidR="00B36487" w:rsidRPr="008F4885" w:rsidRDefault="00B36487" w:rsidP="00B36487">
      <w:pPr>
        <w:pStyle w:val="Titulnstrana"/>
      </w:pPr>
    </w:p>
    <w:p w14:paraId="449AE550" w14:textId="77777777" w:rsidR="00B36487" w:rsidRPr="008F4885" w:rsidRDefault="00B36487" w:rsidP="00B36487">
      <w:pPr>
        <w:pStyle w:val="Titulnstrana"/>
      </w:pPr>
    </w:p>
    <w:p w14:paraId="055C0F53" w14:textId="77777777" w:rsidR="00B36487" w:rsidRDefault="00B36487" w:rsidP="00B36487">
      <w:pPr>
        <w:pStyle w:val="Titulnstrana"/>
      </w:pPr>
    </w:p>
    <w:p w14:paraId="37C48DCA" w14:textId="77777777" w:rsidR="00B36487" w:rsidRPr="008F4885" w:rsidRDefault="00B36487" w:rsidP="00B36487">
      <w:pPr>
        <w:pStyle w:val="Titulnstrana"/>
      </w:pPr>
    </w:p>
    <w:p w14:paraId="0A803F6D" w14:textId="77777777" w:rsidR="00B36487" w:rsidRDefault="00B36487" w:rsidP="00B36487">
      <w:pPr>
        <w:pStyle w:val="Titulnstrana"/>
      </w:pPr>
    </w:p>
    <w:p w14:paraId="750DDF2F" w14:textId="77777777" w:rsidR="00B36487" w:rsidRDefault="00B36487" w:rsidP="00B36487">
      <w:pPr>
        <w:pStyle w:val="Titulnstrana"/>
      </w:pPr>
    </w:p>
    <w:p w14:paraId="7E8D2C70" w14:textId="77777777" w:rsidR="00B474C2" w:rsidRDefault="00B474C2" w:rsidP="00B36487">
      <w:pPr>
        <w:pStyle w:val="Titulnstrana"/>
      </w:pPr>
    </w:p>
    <w:p w14:paraId="4AA274F9" w14:textId="77777777" w:rsidR="00B474C2" w:rsidRDefault="00B474C2" w:rsidP="00B36487">
      <w:pPr>
        <w:pStyle w:val="Titulnstrana"/>
      </w:pPr>
    </w:p>
    <w:p w14:paraId="02B8F70E" w14:textId="77777777" w:rsidR="00B474C2" w:rsidRDefault="00B474C2" w:rsidP="00B36487">
      <w:pPr>
        <w:pStyle w:val="Titulnstrana"/>
      </w:pPr>
    </w:p>
    <w:p w14:paraId="1B03A0A3" w14:textId="77777777" w:rsidR="00B474C2" w:rsidRDefault="00B474C2" w:rsidP="00B36487">
      <w:pPr>
        <w:pStyle w:val="Titulnstrana"/>
      </w:pPr>
    </w:p>
    <w:p w14:paraId="76ED45AF" w14:textId="77777777" w:rsidR="006470E3" w:rsidRDefault="006470E3" w:rsidP="006470E3">
      <w:pPr>
        <w:pStyle w:val="Titulnstrana"/>
        <w:jc w:val="left"/>
      </w:pPr>
    </w:p>
    <w:p w14:paraId="6EEAC9BF" w14:textId="50FAAAE8" w:rsidR="00B36487" w:rsidRDefault="00B474C2" w:rsidP="00B474C2">
      <w:pPr>
        <w:pStyle w:val="Titulnstrana"/>
        <w:tabs>
          <w:tab w:val="left" w:pos="3055"/>
          <w:tab w:val="center" w:pos="4513"/>
        </w:tabs>
        <w:jc w:val="left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 w:rsidR="0034327B">
        <w:rPr>
          <w:b w:val="0"/>
          <w:sz w:val="24"/>
        </w:rPr>
        <w:t>DUBEN</w:t>
      </w:r>
      <w:r w:rsidR="00881390">
        <w:rPr>
          <w:b w:val="0"/>
          <w:sz w:val="24"/>
        </w:rPr>
        <w:t xml:space="preserve"> 202</w:t>
      </w:r>
      <w:r w:rsidR="0069776E">
        <w:rPr>
          <w:b w:val="0"/>
          <w:sz w:val="24"/>
        </w:rPr>
        <w:t>5</w:t>
      </w:r>
    </w:p>
    <w:p w14:paraId="3AA80ABF" w14:textId="77777777" w:rsidR="00A717FA" w:rsidRPr="00D2564F" w:rsidRDefault="00A717FA" w:rsidP="00A717FA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1F4DC41" wp14:editId="62E0721D">
                <wp:simplePos x="0" y="0"/>
                <wp:positionH relativeFrom="margin">
                  <wp:posOffset>0</wp:posOffset>
                </wp:positionH>
                <wp:positionV relativeFrom="paragraph">
                  <wp:posOffset>-114300</wp:posOffset>
                </wp:positionV>
                <wp:extent cx="5911850" cy="5715000"/>
                <wp:effectExtent l="0" t="0" r="12700" b="19050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1850" cy="5715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C51058" w14:textId="77777777" w:rsidR="00A717FA" w:rsidRDefault="00A717FA" w:rsidP="00A717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4DC41" id="Obdélník 12" o:spid="_x0000_s1026" style="position:absolute;left:0;text-align:left;margin-left:0;margin-top:-9pt;width:465.5pt;height:450pt;z-index:-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" fillcolor="#d8d8d8 [2732]" strokecolor="#1f3763 [1604]" strokeweight="1pt">
                <v:textbox>
                  <w:txbxContent>
                    <w:p w14:paraId="46C51058" w14:textId="77777777" w:rsidR="00A717FA" w:rsidRDefault="00A717FA" w:rsidP="00A717F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2564F">
        <w:rPr>
          <w:rFonts w:ascii="Arial" w:hAnsi="Arial" w:cs="Arial"/>
          <w:b/>
          <w:sz w:val="28"/>
        </w:rPr>
        <w:t>Manažerské shrnutí</w:t>
      </w:r>
    </w:p>
    <w:p w14:paraId="6A7C29B3" w14:textId="5D393A67" w:rsidR="00A717FA" w:rsidRDefault="00A717FA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Podařilo se již </w:t>
      </w:r>
      <w:r w:rsidRPr="00902D7B">
        <w:rPr>
          <w:rFonts w:ascii="Arial" w:hAnsi="Arial" w:cs="Arial"/>
          <w:b/>
          <w:sz w:val="20"/>
        </w:rPr>
        <w:t>uzavřít smlouvy s příjemci</w:t>
      </w:r>
      <w:r>
        <w:rPr>
          <w:rFonts w:ascii="Arial" w:hAnsi="Arial" w:cs="Arial"/>
          <w:sz w:val="20"/>
        </w:rPr>
        <w:t xml:space="preserve"> </w:t>
      </w:r>
      <w:r w:rsidRPr="00CC6958">
        <w:rPr>
          <w:rFonts w:ascii="Arial" w:hAnsi="Arial" w:cs="Arial"/>
          <w:b/>
          <w:bCs/>
          <w:sz w:val="20"/>
        </w:rPr>
        <w:t xml:space="preserve">za </w:t>
      </w:r>
      <w:r w:rsidR="00C66420">
        <w:rPr>
          <w:rFonts w:ascii="Arial" w:hAnsi="Arial" w:cs="Arial"/>
          <w:b/>
          <w:bCs/>
          <w:sz w:val="20"/>
        </w:rPr>
        <w:t>305,7</w:t>
      </w:r>
      <w:r w:rsidRPr="00CC6958">
        <w:rPr>
          <w:rFonts w:ascii="Arial" w:hAnsi="Arial" w:cs="Arial"/>
          <w:b/>
          <w:bCs/>
          <w:sz w:val="20"/>
        </w:rPr>
        <w:t xml:space="preserve"> mld. Kč</w:t>
      </w:r>
      <w:r>
        <w:rPr>
          <w:rFonts w:ascii="Arial" w:hAnsi="Arial" w:cs="Arial"/>
          <w:sz w:val="20"/>
        </w:rPr>
        <w:t xml:space="preserve"> (přes </w:t>
      </w:r>
      <w:r w:rsidR="00FD74BC">
        <w:rPr>
          <w:rFonts w:ascii="Arial" w:hAnsi="Arial" w:cs="Arial"/>
          <w:sz w:val="20"/>
        </w:rPr>
        <w:t>5</w:t>
      </w:r>
      <w:r w:rsidR="00994725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% alokace pro ČR) a </w:t>
      </w:r>
      <w:r w:rsidRPr="00902D7B">
        <w:rPr>
          <w:rFonts w:ascii="Arial" w:hAnsi="Arial" w:cs="Arial"/>
          <w:b/>
          <w:sz w:val="20"/>
        </w:rPr>
        <w:t>proplatit jim na realizaci projektů</w:t>
      </w:r>
      <w:r>
        <w:rPr>
          <w:rFonts w:ascii="Arial" w:hAnsi="Arial" w:cs="Arial"/>
          <w:sz w:val="20"/>
        </w:rPr>
        <w:t xml:space="preserve"> </w:t>
      </w:r>
      <w:r w:rsidR="008061F2">
        <w:rPr>
          <w:rFonts w:ascii="Arial" w:hAnsi="Arial" w:cs="Arial"/>
          <w:b/>
          <w:bCs/>
          <w:sz w:val="20"/>
        </w:rPr>
        <w:t>107,3</w:t>
      </w:r>
      <w:r w:rsidRPr="00CC6958">
        <w:rPr>
          <w:rFonts w:ascii="Arial" w:hAnsi="Arial" w:cs="Arial"/>
          <w:b/>
          <w:bCs/>
          <w:sz w:val="20"/>
        </w:rPr>
        <w:t xml:space="preserve"> mld. Kč</w:t>
      </w:r>
      <w:r>
        <w:rPr>
          <w:rFonts w:ascii="Arial" w:hAnsi="Arial" w:cs="Arial"/>
          <w:sz w:val="20"/>
        </w:rPr>
        <w:t xml:space="preserve"> (</w:t>
      </w:r>
      <w:r w:rsidR="008061F2">
        <w:rPr>
          <w:rFonts w:ascii="Arial" w:hAnsi="Arial" w:cs="Arial"/>
          <w:sz w:val="20"/>
        </w:rPr>
        <w:t>20,4</w:t>
      </w:r>
      <w:r>
        <w:rPr>
          <w:rFonts w:ascii="Arial" w:hAnsi="Arial" w:cs="Arial"/>
          <w:sz w:val="20"/>
        </w:rPr>
        <w:t xml:space="preserve"> % alokace pro ČR).</w:t>
      </w:r>
    </w:p>
    <w:p w14:paraId="385895EA" w14:textId="6067EA38" w:rsidR="00A717FA" w:rsidRDefault="00A717FA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6A25BA">
        <w:rPr>
          <w:rFonts w:ascii="Arial" w:hAnsi="Arial" w:cs="Arial"/>
          <w:sz w:val="20"/>
        </w:rPr>
        <w:t>První zkouškou bude</w:t>
      </w:r>
      <w:r w:rsidRPr="00902D7B">
        <w:rPr>
          <w:rFonts w:ascii="Arial" w:hAnsi="Arial" w:cs="Arial"/>
          <w:b/>
          <w:sz w:val="20"/>
        </w:rPr>
        <w:t xml:space="preserve"> splnění pravidla n+3 </w:t>
      </w:r>
      <w:r w:rsidRPr="006936C0">
        <w:rPr>
          <w:rFonts w:ascii="Arial" w:hAnsi="Arial" w:cs="Arial"/>
          <w:bCs/>
          <w:sz w:val="20"/>
        </w:rPr>
        <w:t>na konci roku 2025</w:t>
      </w:r>
      <w:r w:rsidR="003A04D3" w:rsidRPr="006936C0">
        <w:rPr>
          <w:rFonts w:ascii="Arial" w:hAnsi="Arial" w:cs="Arial"/>
          <w:bCs/>
          <w:sz w:val="20"/>
        </w:rPr>
        <w:t>. K</w:t>
      </w:r>
      <w:r w:rsidR="00E74D57" w:rsidRPr="006936C0">
        <w:rPr>
          <w:rFonts w:ascii="Arial" w:hAnsi="Arial" w:cs="Arial"/>
          <w:bCs/>
          <w:sz w:val="20"/>
        </w:rPr>
        <w:t xml:space="preserve">e konci </w:t>
      </w:r>
      <w:r w:rsidR="00071843">
        <w:rPr>
          <w:rFonts w:ascii="Arial" w:hAnsi="Arial" w:cs="Arial"/>
          <w:bCs/>
          <w:sz w:val="20"/>
        </w:rPr>
        <w:t>března</w:t>
      </w:r>
      <w:r w:rsidR="00E74D57" w:rsidRPr="006936C0">
        <w:rPr>
          <w:rFonts w:ascii="Arial" w:hAnsi="Arial" w:cs="Arial"/>
          <w:bCs/>
          <w:sz w:val="20"/>
        </w:rPr>
        <w:t xml:space="preserve"> 202</w:t>
      </w:r>
      <w:r w:rsidR="00535DCA">
        <w:rPr>
          <w:rFonts w:ascii="Arial" w:hAnsi="Arial" w:cs="Arial"/>
          <w:bCs/>
          <w:sz w:val="20"/>
        </w:rPr>
        <w:t>5</w:t>
      </w:r>
      <w:r w:rsidR="00E74D57" w:rsidRPr="006936C0">
        <w:rPr>
          <w:rFonts w:ascii="Arial" w:hAnsi="Arial" w:cs="Arial"/>
          <w:bCs/>
          <w:sz w:val="20"/>
        </w:rPr>
        <w:t xml:space="preserve"> m</w:t>
      </w:r>
      <w:r w:rsidR="00535DCA">
        <w:rPr>
          <w:rFonts w:ascii="Arial" w:hAnsi="Arial" w:cs="Arial"/>
          <w:bCs/>
          <w:sz w:val="20"/>
        </w:rPr>
        <w:t>á</w:t>
      </w:r>
      <w:r w:rsidR="00E74D57">
        <w:rPr>
          <w:rFonts w:ascii="Arial" w:hAnsi="Arial" w:cs="Arial"/>
          <w:b/>
          <w:sz w:val="20"/>
        </w:rPr>
        <w:t xml:space="preserve"> již </w:t>
      </w:r>
      <w:r w:rsidR="00535DCA">
        <w:rPr>
          <w:rFonts w:ascii="Arial" w:hAnsi="Arial" w:cs="Arial"/>
          <w:b/>
          <w:sz w:val="20"/>
        </w:rPr>
        <w:t>5</w:t>
      </w:r>
      <w:r w:rsidR="00E74D57">
        <w:rPr>
          <w:rFonts w:ascii="Arial" w:hAnsi="Arial" w:cs="Arial"/>
          <w:b/>
          <w:sz w:val="20"/>
        </w:rPr>
        <w:t xml:space="preserve"> program</w:t>
      </w:r>
      <w:r w:rsidR="00535DCA">
        <w:rPr>
          <w:rFonts w:ascii="Arial" w:hAnsi="Arial" w:cs="Arial"/>
          <w:b/>
          <w:sz w:val="20"/>
        </w:rPr>
        <w:t>ů</w:t>
      </w:r>
      <w:r w:rsidR="00E74D57">
        <w:rPr>
          <w:rFonts w:ascii="Arial" w:hAnsi="Arial" w:cs="Arial"/>
          <w:b/>
          <w:sz w:val="20"/>
        </w:rPr>
        <w:t xml:space="preserve"> splněno (OP </w:t>
      </w:r>
      <w:r w:rsidR="00535DCA">
        <w:rPr>
          <w:rFonts w:ascii="Arial" w:hAnsi="Arial" w:cs="Arial"/>
          <w:b/>
          <w:sz w:val="20"/>
        </w:rPr>
        <w:t>Z+,</w:t>
      </w:r>
      <w:r w:rsidR="00E74D57">
        <w:rPr>
          <w:rFonts w:ascii="Arial" w:hAnsi="Arial" w:cs="Arial"/>
          <w:b/>
          <w:sz w:val="20"/>
        </w:rPr>
        <w:t>OP D, OP ŽP, OP TP a OP ST)</w:t>
      </w:r>
      <w:r>
        <w:rPr>
          <w:rFonts w:ascii="Arial" w:hAnsi="Arial" w:cs="Arial"/>
          <w:sz w:val="20"/>
        </w:rPr>
        <w:t xml:space="preserve">. </w:t>
      </w:r>
    </w:p>
    <w:p w14:paraId="0D9144FB" w14:textId="1999323E" w:rsidR="00A73278" w:rsidRDefault="00A73278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Koheze zajišťuje </w:t>
      </w:r>
      <w:r>
        <w:rPr>
          <w:rStyle w:val="normaltextrun"/>
          <w:rFonts w:ascii="Arial" w:hAnsi="Arial" w:cs="Arial"/>
          <w:b/>
          <w:bCs/>
          <w:sz w:val="20"/>
        </w:rPr>
        <w:t>významné</w:t>
      </w:r>
      <w:r w:rsidRPr="000D515F">
        <w:rPr>
          <w:rStyle w:val="normaltextrun"/>
          <w:rFonts w:ascii="Arial" w:hAnsi="Arial" w:cs="Arial"/>
          <w:b/>
          <w:bCs/>
          <w:sz w:val="20"/>
        </w:rPr>
        <w:t xml:space="preserve"> a trvale prospěšn</w:t>
      </w:r>
      <w:r>
        <w:rPr>
          <w:rStyle w:val="normaltextrun"/>
          <w:rFonts w:ascii="Arial" w:hAnsi="Arial" w:cs="Arial"/>
          <w:b/>
          <w:bCs/>
          <w:sz w:val="20"/>
        </w:rPr>
        <w:t>é</w:t>
      </w:r>
      <w:r w:rsidRPr="000D515F">
        <w:rPr>
          <w:rStyle w:val="normaltextrun"/>
          <w:rFonts w:ascii="Arial" w:hAnsi="Arial" w:cs="Arial"/>
          <w:b/>
          <w:bCs/>
          <w:sz w:val="20"/>
        </w:rPr>
        <w:t xml:space="preserve"> přínos</w:t>
      </w:r>
      <w:r>
        <w:rPr>
          <w:rStyle w:val="normaltextrun"/>
          <w:rFonts w:ascii="Arial" w:hAnsi="Arial" w:cs="Arial"/>
          <w:b/>
          <w:bCs/>
          <w:sz w:val="20"/>
        </w:rPr>
        <w:t>y</w:t>
      </w:r>
      <w:r w:rsidRPr="000D515F">
        <w:rPr>
          <w:rStyle w:val="normaltextrun"/>
          <w:rFonts w:ascii="Arial" w:hAnsi="Arial" w:cs="Arial"/>
          <w:b/>
          <w:bCs/>
          <w:sz w:val="20"/>
        </w:rPr>
        <w:t xml:space="preserve"> pro regiony a občany, kteří v nich žijí</w:t>
      </w:r>
      <w:r>
        <w:rPr>
          <w:rStyle w:val="normaltextrun"/>
          <w:rFonts w:ascii="Arial" w:hAnsi="Arial" w:cs="Arial"/>
          <w:b/>
          <w:bCs/>
          <w:sz w:val="20"/>
        </w:rPr>
        <w:t xml:space="preserve">. </w:t>
      </w:r>
      <w:r w:rsidRPr="005B0717">
        <w:rPr>
          <w:rStyle w:val="normaltextrun"/>
          <w:rFonts w:ascii="Arial" w:hAnsi="Arial" w:cs="Arial"/>
          <w:bCs/>
          <w:sz w:val="20"/>
        </w:rPr>
        <w:t>Daří se nám dosahovat skvělých výsledků například</w:t>
      </w:r>
      <w:r>
        <w:rPr>
          <w:rStyle w:val="normaltextrun"/>
          <w:rFonts w:ascii="Arial" w:hAnsi="Arial" w:cs="Arial"/>
          <w:b/>
          <w:bCs/>
          <w:sz w:val="20"/>
        </w:rPr>
        <w:t xml:space="preserve"> v oblasti životního prostředí, digitalizace</w:t>
      </w:r>
      <w:r w:rsidR="009E432D">
        <w:rPr>
          <w:rStyle w:val="normaltextrun"/>
          <w:rFonts w:ascii="Arial" w:hAnsi="Arial" w:cs="Arial"/>
          <w:b/>
          <w:bCs/>
          <w:sz w:val="20"/>
        </w:rPr>
        <w:t xml:space="preserve"> a konektivity</w:t>
      </w:r>
      <w:r>
        <w:rPr>
          <w:rStyle w:val="normaltextrun"/>
          <w:rFonts w:ascii="Arial" w:hAnsi="Arial" w:cs="Arial"/>
          <w:b/>
          <w:bCs/>
          <w:sz w:val="20"/>
        </w:rPr>
        <w:t xml:space="preserve"> či vědy a výzkumu.</w:t>
      </w:r>
    </w:p>
    <w:p w14:paraId="752350E6" w14:textId="697253A4" w:rsidR="0041363C" w:rsidRDefault="00B35AA2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MMR</w:t>
      </w:r>
      <w:r w:rsidR="008375E6">
        <w:rPr>
          <w:rFonts w:ascii="Arial" w:hAnsi="Arial" w:cs="Arial"/>
          <w:sz w:val="20"/>
        </w:rPr>
        <w:t>-NOK</w:t>
      </w:r>
      <w:r w:rsidR="00A717FA" w:rsidRPr="006A25BA">
        <w:rPr>
          <w:rFonts w:ascii="Arial" w:hAnsi="Arial" w:cs="Arial"/>
          <w:sz w:val="20"/>
        </w:rPr>
        <w:t xml:space="preserve"> </w:t>
      </w:r>
      <w:r w:rsidR="00A717FA" w:rsidRPr="00902D7B">
        <w:rPr>
          <w:rFonts w:ascii="Arial" w:hAnsi="Arial" w:cs="Arial"/>
          <w:b/>
          <w:sz w:val="20"/>
        </w:rPr>
        <w:t>monitoruje plynulost</w:t>
      </w:r>
      <w:r w:rsidR="00BF694C">
        <w:rPr>
          <w:rFonts w:ascii="Arial" w:hAnsi="Arial" w:cs="Arial"/>
          <w:b/>
          <w:sz w:val="20"/>
        </w:rPr>
        <w:t xml:space="preserve"> a efektivnost</w:t>
      </w:r>
      <w:r w:rsidR="00A717FA" w:rsidRPr="00902D7B">
        <w:rPr>
          <w:rFonts w:ascii="Arial" w:hAnsi="Arial" w:cs="Arial"/>
          <w:b/>
          <w:sz w:val="20"/>
        </w:rPr>
        <w:t xml:space="preserve"> čerpání finančních prostředků a</w:t>
      </w:r>
      <w:r w:rsidR="00A717FA">
        <w:rPr>
          <w:rFonts w:ascii="Arial" w:hAnsi="Arial" w:cs="Arial"/>
          <w:b/>
          <w:sz w:val="20"/>
        </w:rPr>
        <w:t> </w:t>
      </w:r>
      <w:r w:rsidR="00A717FA" w:rsidRPr="00902D7B">
        <w:rPr>
          <w:rFonts w:ascii="Arial" w:hAnsi="Arial" w:cs="Arial"/>
          <w:b/>
          <w:sz w:val="20"/>
        </w:rPr>
        <w:t>stanovuje opatření</w:t>
      </w:r>
      <w:r w:rsidR="00A717FA" w:rsidRPr="006A25BA">
        <w:rPr>
          <w:rFonts w:ascii="Arial" w:hAnsi="Arial" w:cs="Arial"/>
          <w:sz w:val="20"/>
        </w:rPr>
        <w:t>, aby</w:t>
      </w:r>
      <w:r w:rsidR="00A717FA">
        <w:rPr>
          <w:rFonts w:ascii="Arial" w:hAnsi="Arial" w:cs="Arial"/>
          <w:sz w:val="20"/>
        </w:rPr>
        <w:t xml:space="preserve"> ke splnění tohoto milníku došlo </w:t>
      </w:r>
      <w:r w:rsidR="003A04D3">
        <w:rPr>
          <w:rFonts w:ascii="Arial" w:hAnsi="Arial" w:cs="Arial"/>
          <w:sz w:val="20"/>
        </w:rPr>
        <w:t xml:space="preserve">včas </w:t>
      </w:r>
      <w:r w:rsidR="00A717FA">
        <w:rPr>
          <w:rFonts w:ascii="Arial" w:hAnsi="Arial" w:cs="Arial"/>
          <w:sz w:val="20"/>
        </w:rPr>
        <w:t>u všech programů.</w:t>
      </w:r>
    </w:p>
    <w:p w14:paraId="2FB27B4F" w14:textId="3873F682" w:rsidR="00A43586" w:rsidRDefault="00A24CCE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FC7658">
        <w:rPr>
          <w:rFonts w:ascii="Arial" w:hAnsi="Arial" w:cs="Arial"/>
          <w:b/>
          <w:bCs/>
          <w:sz w:val="20"/>
        </w:rPr>
        <w:t>Klesající alokace</w:t>
      </w:r>
      <w:r w:rsidR="00AE5506" w:rsidRPr="00D51459">
        <w:rPr>
          <w:rFonts w:ascii="Arial" w:hAnsi="Arial" w:cs="Arial"/>
          <w:sz w:val="20"/>
        </w:rPr>
        <w:t xml:space="preserve"> – </w:t>
      </w:r>
      <w:r w:rsidR="00650D44">
        <w:rPr>
          <w:rFonts w:ascii="Arial" w:hAnsi="Arial" w:cs="Arial"/>
          <w:sz w:val="20"/>
        </w:rPr>
        <w:t xml:space="preserve">pro </w:t>
      </w:r>
      <w:r w:rsidR="00231F11">
        <w:rPr>
          <w:rFonts w:ascii="Arial" w:hAnsi="Arial" w:cs="Arial"/>
          <w:sz w:val="20"/>
        </w:rPr>
        <w:t>p</w:t>
      </w:r>
      <w:r w:rsidRPr="00A24CCE">
        <w:rPr>
          <w:rFonts w:ascii="Arial" w:hAnsi="Arial" w:cs="Arial"/>
          <w:sz w:val="20"/>
        </w:rPr>
        <w:t>olitik</w:t>
      </w:r>
      <w:r w:rsidR="00650D44">
        <w:rPr>
          <w:rFonts w:ascii="Arial" w:hAnsi="Arial" w:cs="Arial"/>
          <w:sz w:val="20"/>
        </w:rPr>
        <w:t>u</w:t>
      </w:r>
      <w:r w:rsidRPr="00A24CCE">
        <w:rPr>
          <w:rFonts w:ascii="Arial" w:hAnsi="Arial" w:cs="Arial"/>
          <w:sz w:val="20"/>
        </w:rPr>
        <w:t xml:space="preserve"> soudržnosti bude mít </w:t>
      </w:r>
      <w:r w:rsidR="00DD3973">
        <w:rPr>
          <w:rFonts w:ascii="Arial" w:hAnsi="Arial" w:cs="Arial"/>
          <w:sz w:val="20"/>
        </w:rPr>
        <w:t xml:space="preserve">ČR </w:t>
      </w:r>
      <w:r w:rsidRPr="00A24CCE">
        <w:rPr>
          <w:rFonts w:ascii="Arial" w:hAnsi="Arial" w:cs="Arial"/>
          <w:sz w:val="20"/>
        </w:rPr>
        <w:t>po roce 2027</w:t>
      </w:r>
      <w:r w:rsidR="00650D44">
        <w:rPr>
          <w:rFonts w:ascii="Arial" w:hAnsi="Arial" w:cs="Arial"/>
          <w:sz w:val="20"/>
        </w:rPr>
        <w:t xml:space="preserve"> </w:t>
      </w:r>
      <w:r w:rsidR="0082209B">
        <w:rPr>
          <w:rFonts w:ascii="Arial" w:hAnsi="Arial" w:cs="Arial"/>
          <w:sz w:val="20"/>
        </w:rPr>
        <w:t xml:space="preserve">pravděpodobně </w:t>
      </w:r>
      <w:r w:rsidRPr="00A24CCE">
        <w:rPr>
          <w:rFonts w:ascii="Arial" w:hAnsi="Arial" w:cs="Arial"/>
          <w:sz w:val="20"/>
        </w:rPr>
        <w:t>výrazně nižší rozpočet</w:t>
      </w:r>
      <w:r w:rsidR="00650D44">
        <w:rPr>
          <w:rFonts w:ascii="Arial" w:hAnsi="Arial" w:cs="Arial"/>
          <w:sz w:val="20"/>
        </w:rPr>
        <w:t xml:space="preserve">, nejen </w:t>
      </w:r>
      <w:r w:rsidRPr="00A24CCE">
        <w:rPr>
          <w:rFonts w:ascii="Arial" w:hAnsi="Arial" w:cs="Arial"/>
          <w:sz w:val="20"/>
        </w:rPr>
        <w:t xml:space="preserve">kvůli </w:t>
      </w:r>
      <w:r w:rsidR="000914F4">
        <w:rPr>
          <w:rFonts w:ascii="Arial" w:hAnsi="Arial" w:cs="Arial"/>
          <w:sz w:val="20"/>
        </w:rPr>
        <w:t xml:space="preserve">očekávánému </w:t>
      </w:r>
      <w:r w:rsidRPr="00A24CCE">
        <w:rPr>
          <w:rFonts w:ascii="Arial" w:hAnsi="Arial" w:cs="Arial"/>
          <w:sz w:val="20"/>
        </w:rPr>
        <w:t>růstu</w:t>
      </w:r>
      <w:r w:rsidR="00584AF6">
        <w:rPr>
          <w:rFonts w:ascii="Arial" w:hAnsi="Arial" w:cs="Arial"/>
          <w:sz w:val="20"/>
        </w:rPr>
        <w:t xml:space="preserve"> ČR</w:t>
      </w:r>
      <w:r w:rsidR="00C23B31">
        <w:rPr>
          <w:rFonts w:ascii="Arial" w:hAnsi="Arial" w:cs="Arial"/>
          <w:sz w:val="20"/>
        </w:rPr>
        <w:t xml:space="preserve">, ale i </w:t>
      </w:r>
      <w:r w:rsidRPr="00A24CCE">
        <w:rPr>
          <w:rFonts w:ascii="Arial" w:hAnsi="Arial" w:cs="Arial"/>
          <w:sz w:val="20"/>
        </w:rPr>
        <w:t>novým evropským prioritám, včetně obrany.</w:t>
      </w:r>
    </w:p>
    <w:p w14:paraId="3B85AAAB" w14:textId="61FFA041" w:rsidR="00D51459" w:rsidRDefault="00D51459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FC7658">
        <w:rPr>
          <w:rFonts w:ascii="Arial" w:hAnsi="Arial" w:cs="Arial"/>
          <w:b/>
          <w:bCs/>
          <w:sz w:val="20"/>
        </w:rPr>
        <w:t>Nutnost prioritizace a efektivity</w:t>
      </w:r>
      <w:r w:rsidRPr="00D51459">
        <w:rPr>
          <w:rFonts w:ascii="Arial" w:hAnsi="Arial" w:cs="Arial"/>
          <w:sz w:val="20"/>
        </w:rPr>
        <w:t xml:space="preserve"> – </w:t>
      </w:r>
      <w:r w:rsidR="00A7063D">
        <w:rPr>
          <w:rFonts w:ascii="Arial" w:hAnsi="Arial" w:cs="Arial"/>
          <w:sz w:val="20"/>
        </w:rPr>
        <w:t xml:space="preserve">proto </w:t>
      </w:r>
      <w:r w:rsidR="00860088">
        <w:rPr>
          <w:rFonts w:ascii="Arial" w:hAnsi="Arial" w:cs="Arial"/>
          <w:sz w:val="20"/>
        </w:rPr>
        <w:t xml:space="preserve">je nutné omezit oblasti, které budou z fondů EU podporované, přičemž </w:t>
      </w:r>
      <w:r w:rsidR="00FC7658">
        <w:rPr>
          <w:rFonts w:ascii="Arial" w:hAnsi="Arial" w:cs="Arial"/>
          <w:sz w:val="20"/>
        </w:rPr>
        <w:t>k</w:t>
      </w:r>
      <w:r w:rsidRPr="00D51459">
        <w:rPr>
          <w:rFonts w:ascii="Arial" w:hAnsi="Arial" w:cs="Arial"/>
          <w:sz w:val="20"/>
        </w:rPr>
        <w:t>líčové</w:t>
      </w:r>
      <w:r w:rsidR="00860088">
        <w:rPr>
          <w:rFonts w:ascii="Arial" w:hAnsi="Arial" w:cs="Arial"/>
          <w:sz w:val="20"/>
        </w:rPr>
        <w:t xml:space="preserve"> nejspíš</w:t>
      </w:r>
      <w:r w:rsidRPr="00D51459">
        <w:rPr>
          <w:rFonts w:ascii="Arial" w:hAnsi="Arial" w:cs="Arial"/>
          <w:sz w:val="20"/>
        </w:rPr>
        <w:t xml:space="preserve"> budou zelená transformace, inovace, vzdělávání, konektivita a demografické výzvy. Větší důraz bude kladen na finanční nástroje namísto grantů.</w:t>
      </w:r>
    </w:p>
    <w:p w14:paraId="1AE734EB" w14:textId="26B3CA1C" w:rsidR="009E313D" w:rsidRDefault="009E313D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9E313D">
        <w:rPr>
          <w:rFonts w:ascii="Arial" w:hAnsi="Arial" w:cs="Arial"/>
          <w:b/>
          <w:bCs/>
          <w:sz w:val="20"/>
        </w:rPr>
        <w:t>Změny v evropských prioritách</w:t>
      </w:r>
      <w:r w:rsidRPr="009E313D">
        <w:rPr>
          <w:rFonts w:ascii="Arial" w:hAnsi="Arial" w:cs="Arial"/>
          <w:sz w:val="20"/>
        </w:rPr>
        <w:t xml:space="preserve"> – </w:t>
      </w:r>
      <w:r w:rsidR="00814393">
        <w:rPr>
          <w:rFonts w:ascii="Arial" w:hAnsi="Arial" w:cs="Arial"/>
          <w:sz w:val="20"/>
        </w:rPr>
        <w:t xml:space="preserve">s ohledem na aktuální vývoj nyní </w:t>
      </w:r>
      <w:r w:rsidRPr="009E313D">
        <w:rPr>
          <w:rFonts w:ascii="Arial" w:hAnsi="Arial" w:cs="Arial"/>
          <w:sz w:val="20"/>
        </w:rPr>
        <w:t xml:space="preserve">EK </w:t>
      </w:r>
      <w:r w:rsidR="00814393">
        <w:rPr>
          <w:rFonts w:ascii="Arial" w:hAnsi="Arial" w:cs="Arial"/>
          <w:sz w:val="20"/>
        </w:rPr>
        <w:t>zdůrazňuje nutnost zaměření se primárně na</w:t>
      </w:r>
      <w:r w:rsidR="00814393" w:rsidRPr="009E313D">
        <w:rPr>
          <w:rFonts w:ascii="Arial" w:hAnsi="Arial" w:cs="Arial"/>
          <w:sz w:val="20"/>
        </w:rPr>
        <w:t xml:space="preserve"> </w:t>
      </w:r>
      <w:r w:rsidRPr="009E313D">
        <w:rPr>
          <w:rFonts w:ascii="Arial" w:hAnsi="Arial" w:cs="Arial"/>
          <w:sz w:val="20"/>
        </w:rPr>
        <w:t>konkurenceschopnost, obranu, bezpečnost, dostupné bydlení a</w:t>
      </w:r>
      <w:r w:rsidR="00FD2C45">
        <w:rPr>
          <w:rFonts w:ascii="Arial" w:hAnsi="Arial" w:cs="Arial"/>
          <w:sz w:val="20"/>
        </w:rPr>
        <w:t> </w:t>
      </w:r>
      <w:r w:rsidRPr="009E313D">
        <w:rPr>
          <w:rFonts w:ascii="Arial" w:hAnsi="Arial" w:cs="Arial"/>
          <w:sz w:val="20"/>
        </w:rPr>
        <w:t xml:space="preserve">digitalizaci. </w:t>
      </w:r>
    </w:p>
    <w:p w14:paraId="1F84C700" w14:textId="61EE74A7" w:rsidR="009E313D" w:rsidRDefault="00AE5506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AE5506">
        <w:rPr>
          <w:rFonts w:ascii="Arial" w:hAnsi="Arial" w:cs="Arial"/>
          <w:b/>
          <w:bCs/>
          <w:sz w:val="20"/>
        </w:rPr>
        <w:t>Vyjednávání o budoucím rozpočtu EU</w:t>
      </w:r>
      <w:r w:rsidRPr="00AE5506">
        <w:rPr>
          <w:rFonts w:ascii="Arial" w:hAnsi="Arial" w:cs="Arial"/>
          <w:sz w:val="20"/>
        </w:rPr>
        <w:t xml:space="preserve"> – </w:t>
      </w:r>
      <w:r>
        <w:rPr>
          <w:rFonts w:ascii="Arial" w:hAnsi="Arial" w:cs="Arial"/>
          <w:sz w:val="20"/>
        </w:rPr>
        <w:t>n</w:t>
      </w:r>
      <w:r w:rsidRPr="00AE5506">
        <w:rPr>
          <w:rFonts w:ascii="Arial" w:hAnsi="Arial" w:cs="Arial"/>
          <w:sz w:val="20"/>
        </w:rPr>
        <w:t xml:space="preserve">ávrh víceletého finančního rámce </w:t>
      </w:r>
      <w:r w:rsidR="00DA0967">
        <w:rPr>
          <w:rFonts w:ascii="Arial" w:hAnsi="Arial" w:cs="Arial"/>
          <w:sz w:val="20"/>
        </w:rPr>
        <w:t>(VFR)</w:t>
      </w:r>
      <w:r w:rsidRPr="00AE5506">
        <w:rPr>
          <w:rFonts w:ascii="Arial" w:hAnsi="Arial" w:cs="Arial"/>
          <w:sz w:val="20"/>
        </w:rPr>
        <w:t xml:space="preserve"> </w:t>
      </w:r>
      <w:r w:rsidR="00814393">
        <w:rPr>
          <w:rFonts w:ascii="Arial" w:hAnsi="Arial" w:cs="Arial"/>
          <w:sz w:val="20"/>
        </w:rPr>
        <w:t xml:space="preserve">je </w:t>
      </w:r>
      <w:r w:rsidRPr="00AE5506">
        <w:rPr>
          <w:rFonts w:ascii="Arial" w:hAnsi="Arial" w:cs="Arial"/>
          <w:sz w:val="20"/>
        </w:rPr>
        <w:t xml:space="preserve">očekáván v polovině roku 2025. </w:t>
      </w:r>
      <w:r w:rsidR="0094357C">
        <w:rPr>
          <w:rFonts w:ascii="Arial" w:hAnsi="Arial" w:cs="Arial"/>
          <w:sz w:val="20"/>
        </w:rPr>
        <w:t>Nové výzvy a p</w:t>
      </w:r>
      <w:r w:rsidR="00F426A8">
        <w:rPr>
          <w:rFonts w:ascii="Arial" w:hAnsi="Arial" w:cs="Arial"/>
          <w:sz w:val="20"/>
        </w:rPr>
        <w:t>ravděpodobná n</w:t>
      </w:r>
      <w:r w:rsidR="00DA0967">
        <w:rPr>
          <w:rFonts w:ascii="Arial" w:hAnsi="Arial" w:cs="Arial"/>
          <w:sz w:val="20"/>
        </w:rPr>
        <w:t>eochota k navýšení</w:t>
      </w:r>
      <w:r w:rsidRPr="00AE5506">
        <w:rPr>
          <w:rFonts w:ascii="Arial" w:hAnsi="Arial" w:cs="Arial"/>
          <w:sz w:val="20"/>
        </w:rPr>
        <w:t xml:space="preserve"> příspěvků členských států </w:t>
      </w:r>
      <w:r w:rsidR="00814393">
        <w:rPr>
          <w:rFonts w:ascii="Arial" w:hAnsi="Arial" w:cs="Arial"/>
          <w:sz w:val="20"/>
        </w:rPr>
        <w:t>m</w:t>
      </w:r>
      <w:r w:rsidR="0094357C">
        <w:rPr>
          <w:rFonts w:ascii="Arial" w:hAnsi="Arial" w:cs="Arial"/>
          <w:sz w:val="20"/>
        </w:rPr>
        <w:t>ohou</w:t>
      </w:r>
      <w:r w:rsidR="00814393">
        <w:rPr>
          <w:rFonts w:ascii="Arial" w:hAnsi="Arial" w:cs="Arial"/>
          <w:sz w:val="20"/>
        </w:rPr>
        <w:t xml:space="preserve"> vést k výraznému poklesu alokace politiky soudržnosti a </w:t>
      </w:r>
      <w:r w:rsidRPr="00AE5506">
        <w:rPr>
          <w:rFonts w:ascii="Arial" w:hAnsi="Arial" w:cs="Arial"/>
          <w:sz w:val="20"/>
        </w:rPr>
        <w:t>zvýší tlak na prioritizaci financování.</w:t>
      </w:r>
    </w:p>
    <w:p w14:paraId="47F3F04B" w14:textId="783C402B" w:rsidR="008F3EE8" w:rsidRDefault="008F3EE8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8F3EE8">
        <w:rPr>
          <w:rFonts w:ascii="Arial" w:hAnsi="Arial" w:cs="Arial"/>
          <w:b/>
          <w:bCs/>
          <w:sz w:val="20"/>
        </w:rPr>
        <w:t>Role ČR v diskusi o budoucnosti politiky soudržnosti</w:t>
      </w:r>
      <w:r w:rsidRPr="008F3EE8">
        <w:rPr>
          <w:rFonts w:ascii="Arial" w:hAnsi="Arial" w:cs="Arial"/>
          <w:sz w:val="20"/>
        </w:rPr>
        <w:t xml:space="preserve"> – ČR prosazuje zachování politiky soudržnosti pro všechny regiony, podporu investic a reformní přístup tam, kde je to relevantní.</w:t>
      </w:r>
    </w:p>
    <w:p w14:paraId="39B7ED95" w14:textId="1C1A647C" w:rsidR="008F3EE8" w:rsidRDefault="005A65EC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5A65EC">
        <w:rPr>
          <w:rFonts w:ascii="Arial" w:hAnsi="Arial" w:cs="Arial"/>
          <w:b/>
          <w:bCs/>
          <w:sz w:val="20"/>
        </w:rPr>
        <w:t>Příprava strategického rámce po roce 2028</w:t>
      </w:r>
      <w:r w:rsidRPr="005A65EC">
        <w:rPr>
          <w:rFonts w:ascii="Arial" w:hAnsi="Arial" w:cs="Arial"/>
          <w:sz w:val="20"/>
        </w:rPr>
        <w:t xml:space="preserve"> – MMR </w:t>
      </w:r>
      <w:r w:rsidR="00484C3D">
        <w:rPr>
          <w:rFonts w:ascii="Arial" w:hAnsi="Arial" w:cs="Arial"/>
          <w:sz w:val="20"/>
        </w:rPr>
        <w:t xml:space="preserve">na základě výstupů z práce </w:t>
      </w:r>
      <w:r w:rsidR="00484C3D" w:rsidRPr="005A65EC">
        <w:rPr>
          <w:rFonts w:ascii="Arial" w:hAnsi="Arial" w:cs="Arial"/>
          <w:sz w:val="20"/>
        </w:rPr>
        <w:t>expertní</w:t>
      </w:r>
      <w:r w:rsidR="00484C3D">
        <w:rPr>
          <w:rFonts w:ascii="Arial" w:hAnsi="Arial" w:cs="Arial"/>
          <w:sz w:val="20"/>
        </w:rPr>
        <w:t>ho</w:t>
      </w:r>
      <w:r w:rsidR="00484C3D" w:rsidRPr="005A65EC">
        <w:rPr>
          <w:rFonts w:ascii="Arial" w:hAnsi="Arial" w:cs="Arial"/>
          <w:sz w:val="20"/>
        </w:rPr>
        <w:t xml:space="preserve"> poradní</w:t>
      </w:r>
      <w:r w:rsidR="00484C3D">
        <w:rPr>
          <w:rFonts w:ascii="Arial" w:hAnsi="Arial" w:cs="Arial"/>
          <w:sz w:val="20"/>
        </w:rPr>
        <w:t>ho</w:t>
      </w:r>
      <w:r w:rsidR="00484C3D" w:rsidRPr="005A65EC">
        <w:rPr>
          <w:rFonts w:ascii="Arial" w:hAnsi="Arial" w:cs="Arial"/>
          <w:sz w:val="20"/>
        </w:rPr>
        <w:t xml:space="preserve"> orgán</w:t>
      </w:r>
      <w:r w:rsidR="00484C3D">
        <w:rPr>
          <w:rFonts w:ascii="Arial" w:hAnsi="Arial" w:cs="Arial"/>
          <w:sz w:val="20"/>
        </w:rPr>
        <w:t>u</w:t>
      </w:r>
      <w:r w:rsidR="00484C3D" w:rsidRPr="005A65EC">
        <w:rPr>
          <w:rFonts w:ascii="Arial" w:hAnsi="Arial" w:cs="Arial"/>
          <w:sz w:val="20"/>
        </w:rPr>
        <w:t xml:space="preserve"> </w:t>
      </w:r>
      <w:r w:rsidRPr="005A65EC">
        <w:rPr>
          <w:rFonts w:ascii="Arial" w:hAnsi="Arial" w:cs="Arial"/>
          <w:sz w:val="20"/>
        </w:rPr>
        <w:t xml:space="preserve">vede bilaterální jednání </w:t>
      </w:r>
      <w:r w:rsidR="0094357C">
        <w:rPr>
          <w:rFonts w:ascii="Arial" w:hAnsi="Arial" w:cs="Arial"/>
          <w:sz w:val="20"/>
        </w:rPr>
        <w:t>se všemi partnery</w:t>
      </w:r>
      <w:r w:rsidR="007B21F4">
        <w:rPr>
          <w:rFonts w:ascii="Arial" w:hAnsi="Arial" w:cs="Arial"/>
          <w:sz w:val="20"/>
        </w:rPr>
        <w:t xml:space="preserve"> s cílem</w:t>
      </w:r>
      <w:r w:rsidRPr="005A65EC">
        <w:rPr>
          <w:rFonts w:ascii="Arial" w:hAnsi="Arial" w:cs="Arial"/>
          <w:sz w:val="20"/>
        </w:rPr>
        <w:t xml:space="preserve"> formul</w:t>
      </w:r>
      <w:r w:rsidR="007B21F4">
        <w:rPr>
          <w:rFonts w:ascii="Arial" w:hAnsi="Arial" w:cs="Arial"/>
          <w:sz w:val="20"/>
        </w:rPr>
        <w:t>ace</w:t>
      </w:r>
      <w:r w:rsidRPr="005A65EC">
        <w:rPr>
          <w:rFonts w:ascii="Arial" w:hAnsi="Arial" w:cs="Arial"/>
          <w:sz w:val="20"/>
        </w:rPr>
        <w:t xml:space="preserve"> věcn</w:t>
      </w:r>
      <w:r w:rsidR="007B21F4">
        <w:rPr>
          <w:rFonts w:ascii="Arial" w:hAnsi="Arial" w:cs="Arial"/>
          <w:sz w:val="20"/>
        </w:rPr>
        <w:t>ých</w:t>
      </w:r>
      <w:r w:rsidRPr="005A65EC">
        <w:rPr>
          <w:rFonts w:ascii="Arial" w:hAnsi="Arial" w:cs="Arial"/>
          <w:sz w:val="20"/>
        </w:rPr>
        <w:t xml:space="preserve"> priorit</w:t>
      </w:r>
      <w:r w:rsidR="007B21F4">
        <w:rPr>
          <w:rFonts w:ascii="Arial" w:hAnsi="Arial" w:cs="Arial"/>
          <w:sz w:val="20"/>
        </w:rPr>
        <w:t xml:space="preserve"> pro politiku soudržnosti po roce 2027</w:t>
      </w:r>
      <w:r w:rsidRPr="005A65EC">
        <w:rPr>
          <w:rFonts w:ascii="Arial" w:hAnsi="Arial" w:cs="Arial"/>
          <w:sz w:val="20"/>
        </w:rPr>
        <w:t xml:space="preserve">. Dokument </w:t>
      </w:r>
      <w:r w:rsidR="007B21F4">
        <w:rPr>
          <w:rFonts w:ascii="Arial" w:hAnsi="Arial" w:cs="Arial"/>
          <w:sz w:val="20"/>
        </w:rPr>
        <w:t>bude předložen vládě</w:t>
      </w:r>
      <w:r w:rsidRPr="005A65EC">
        <w:rPr>
          <w:rFonts w:ascii="Arial" w:hAnsi="Arial" w:cs="Arial"/>
          <w:sz w:val="20"/>
        </w:rPr>
        <w:t xml:space="preserve"> do června 2025.</w:t>
      </w:r>
    </w:p>
    <w:p w14:paraId="0CA14B4F" w14:textId="21938DB9" w:rsidR="005A65EC" w:rsidRPr="006A25BA" w:rsidRDefault="00B0086C" w:rsidP="00A717FA">
      <w:pPr>
        <w:pStyle w:val="Odstavecseseznamem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B0086C">
        <w:rPr>
          <w:rFonts w:ascii="Arial" w:hAnsi="Arial" w:cs="Arial"/>
          <w:b/>
          <w:bCs/>
          <w:sz w:val="20"/>
        </w:rPr>
        <w:t>Další klíčové kroky</w:t>
      </w:r>
      <w:r w:rsidRPr="00B0086C">
        <w:rPr>
          <w:rFonts w:ascii="Arial" w:hAnsi="Arial" w:cs="Arial"/>
          <w:sz w:val="20"/>
        </w:rPr>
        <w:t xml:space="preserve"> – </w:t>
      </w:r>
      <w:r w:rsidR="00BA05D7">
        <w:rPr>
          <w:rFonts w:ascii="Arial" w:hAnsi="Arial" w:cs="Arial"/>
          <w:sz w:val="20"/>
        </w:rPr>
        <w:t>MMR-NOK organizuje dne 16. 4. 2025</w:t>
      </w:r>
      <w:r w:rsidRPr="00B0086C">
        <w:rPr>
          <w:rFonts w:ascii="Arial" w:hAnsi="Arial" w:cs="Arial"/>
          <w:sz w:val="20"/>
        </w:rPr>
        <w:t xml:space="preserve"> kulatý stůl k PS 28+, </w:t>
      </w:r>
      <w:r w:rsidR="00BA05D7">
        <w:rPr>
          <w:rFonts w:ascii="Arial" w:hAnsi="Arial" w:cs="Arial"/>
          <w:sz w:val="20"/>
        </w:rPr>
        <w:t>následně během léta očekáváme</w:t>
      </w:r>
      <w:r w:rsidRPr="00B0086C">
        <w:rPr>
          <w:rFonts w:ascii="Arial" w:hAnsi="Arial" w:cs="Arial"/>
          <w:sz w:val="20"/>
        </w:rPr>
        <w:t xml:space="preserve"> zveřejnění </w:t>
      </w:r>
      <w:r w:rsidR="00DA0967">
        <w:rPr>
          <w:rFonts w:ascii="Arial" w:hAnsi="Arial" w:cs="Arial"/>
          <w:sz w:val="20"/>
        </w:rPr>
        <w:t xml:space="preserve">návrhu nového VFR a </w:t>
      </w:r>
      <w:r w:rsidRPr="00B0086C">
        <w:rPr>
          <w:rFonts w:ascii="Arial" w:hAnsi="Arial" w:cs="Arial"/>
          <w:sz w:val="20"/>
        </w:rPr>
        <w:t>kohezní legislativy 2028+</w:t>
      </w:r>
      <w:r w:rsidR="00BA05D7">
        <w:rPr>
          <w:rFonts w:ascii="Arial" w:hAnsi="Arial" w:cs="Arial"/>
          <w:sz w:val="20"/>
        </w:rPr>
        <w:t>, čímž započne proces intenzivního vyjednávání.</w:t>
      </w:r>
    </w:p>
    <w:p w14:paraId="76B22F4C" w14:textId="77777777" w:rsidR="00046263" w:rsidRDefault="00046263">
      <w:pPr>
        <w:rPr>
          <w:rFonts w:ascii="Arial" w:eastAsia="Arial" w:hAnsi="Arial" w:cs="Arial"/>
          <w:bCs/>
          <w:color w:val="000000" w:themeColor="text1"/>
          <w:sz w:val="20"/>
          <w:szCs w:val="20"/>
        </w:rPr>
      </w:pPr>
    </w:p>
    <w:p w14:paraId="67E549A5" w14:textId="77777777" w:rsidR="0041363C" w:rsidRDefault="0041363C">
      <w:pPr>
        <w:rPr>
          <w:rFonts w:ascii="Arial" w:eastAsia="Arial" w:hAnsi="Arial" w:cs="Arial"/>
          <w:bCs/>
          <w:color w:val="000000" w:themeColor="text1"/>
          <w:sz w:val="20"/>
          <w:szCs w:val="20"/>
        </w:rPr>
      </w:pPr>
    </w:p>
    <w:p w14:paraId="31330211" w14:textId="77777777" w:rsidR="00D51459" w:rsidRDefault="00D51459" w:rsidP="00B0086C">
      <w:pPr>
        <w:rPr>
          <w:rFonts w:ascii="Arial" w:hAnsi="Arial" w:cs="Arial"/>
          <w:b/>
          <w:bCs/>
          <w:color w:val="000099"/>
          <w:sz w:val="40"/>
          <w:szCs w:val="40"/>
        </w:rPr>
      </w:pPr>
    </w:p>
    <w:p w14:paraId="5E5F3744" w14:textId="77777777" w:rsidR="00D51459" w:rsidRDefault="00D51459" w:rsidP="0041363C">
      <w:pPr>
        <w:jc w:val="center"/>
        <w:rPr>
          <w:rFonts w:ascii="Arial" w:hAnsi="Arial" w:cs="Arial"/>
          <w:b/>
          <w:bCs/>
          <w:color w:val="000099"/>
          <w:sz w:val="40"/>
          <w:szCs w:val="40"/>
        </w:rPr>
      </w:pPr>
    </w:p>
    <w:p w14:paraId="7FDAB68D" w14:textId="77777777" w:rsidR="00371B02" w:rsidRDefault="00371B02" w:rsidP="0041363C">
      <w:pPr>
        <w:jc w:val="center"/>
        <w:rPr>
          <w:rFonts w:ascii="Arial" w:hAnsi="Arial" w:cs="Arial"/>
          <w:b/>
          <w:bCs/>
          <w:color w:val="000099"/>
          <w:sz w:val="40"/>
          <w:szCs w:val="40"/>
        </w:rPr>
      </w:pPr>
    </w:p>
    <w:p w14:paraId="2A5B02F9" w14:textId="77777777" w:rsidR="00371B02" w:rsidRDefault="00371B02" w:rsidP="0041363C">
      <w:pPr>
        <w:jc w:val="center"/>
        <w:rPr>
          <w:rFonts w:ascii="Arial" w:hAnsi="Arial" w:cs="Arial"/>
          <w:b/>
          <w:bCs/>
          <w:color w:val="000099"/>
          <w:sz w:val="40"/>
          <w:szCs w:val="40"/>
        </w:rPr>
      </w:pPr>
    </w:p>
    <w:p w14:paraId="39131922" w14:textId="77777777" w:rsidR="00D51459" w:rsidRDefault="00D51459" w:rsidP="0041363C">
      <w:pPr>
        <w:jc w:val="center"/>
        <w:rPr>
          <w:rFonts w:ascii="Arial" w:hAnsi="Arial" w:cs="Arial"/>
          <w:b/>
          <w:bCs/>
          <w:color w:val="000099"/>
          <w:sz w:val="40"/>
          <w:szCs w:val="40"/>
        </w:rPr>
      </w:pPr>
    </w:p>
    <w:p w14:paraId="654DD392" w14:textId="77777777" w:rsidR="00D51459" w:rsidRDefault="00D51459" w:rsidP="0041363C">
      <w:pPr>
        <w:jc w:val="center"/>
        <w:rPr>
          <w:rFonts w:ascii="Arial" w:hAnsi="Arial" w:cs="Arial"/>
          <w:b/>
          <w:bCs/>
          <w:color w:val="000099"/>
          <w:sz w:val="40"/>
          <w:szCs w:val="40"/>
        </w:rPr>
      </w:pPr>
    </w:p>
    <w:p w14:paraId="63EBDB22" w14:textId="20ACB310" w:rsidR="00D51459" w:rsidRDefault="00B02DE9" w:rsidP="0041363C">
      <w:pPr>
        <w:jc w:val="center"/>
        <w:rPr>
          <w:rFonts w:ascii="Arial" w:hAnsi="Arial" w:cs="Arial"/>
          <w:b/>
          <w:bCs/>
          <w:color w:val="000099"/>
          <w:sz w:val="40"/>
          <w:szCs w:val="40"/>
        </w:rPr>
      </w:pPr>
      <w:r>
        <w:rPr>
          <w:rFonts w:ascii="Arial" w:hAnsi="Arial" w:cs="Arial"/>
          <w:b/>
          <w:bCs/>
          <w:color w:val="000099"/>
          <w:sz w:val="40"/>
          <w:szCs w:val="40"/>
        </w:rPr>
        <w:br w:type="page"/>
      </w:r>
    </w:p>
    <w:p w14:paraId="1E18DA38" w14:textId="75B961DA" w:rsidR="0041363C" w:rsidRPr="0041363C" w:rsidRDefault="0041363C" w:rsidP="0041363C">
      <w:pPr>
        <w:jc w:val="center"/>
        <w:rPr>
          <w:rFonts w:ascii="Arial" w:hAnsi="Arial" w:cs="Arial"/>
          <w:b/>
          <w:bCs/>
          <w:color w:val="000099"/>
          <w:sz w:val="40"/>
          <w:szCs w:val="40"/>
        </w:rPr>
      </w:pPr>
      <w:r w:rsidRPr="0041363C">
        <w:rPr>
          <w:rFonts w:ascii="Arial" w:hAnsi="Arial" w:cs="Arial"/>
          <w:b/>
          <w:bCs/>
          <w:color w:val="000099"/>
          <w:sz w:val="40"/>
          <w:szCs w:val="40"/>
        </w:rPr>
        <w:lastRenderedPageBreak/>
        <w:t>Informace o současném programovém období 2021-2027</w:t>
      </w:r>
    </w:p>
    <w:p w14:paraId="0B4FCD51" w14:textId="77777777" w:rsidR="00046263" w:rsidRDefault="00046263">
      <w:pPr>
        <w:rPr>
          <w:rFonts w:ascii="Arial" w:eastAsia="Arial" w:hAnsi="Arial" w:cs="Arial"/>
          <w:bCs/>
          <w:color w:val="000000" w:themeColor="text1"/>
          <w:sz w:val="20"/>
          <w:szCs w:val="20"/>
        </w:rPr>
      </w:pPr>
    </w:p>
    <w:p w14:paraId="2735527E" w14:textId="27964676" w:rsidR="00A717FA" w:rsidRPr="00280BDE" w:rsidRDefault="00BC2A27" w:rsidP="00BC2A27">
      <w:pPr>
        <w:rPr>
          <w:rFonts w:ascii="Arial" w:hAnsi="Arial" w:cs="Arial"/>
          <w:b/>
          <w:bCs/>
          <w:color w:val="000099"/>
          <w:sz w:val="20"/>
        </w:rPr>
      </w:pPr>
      <w:r w:rsidRPr="00BC2A27">
        <w:rPr>
          <w:rFonts w:ascii="Arial" w:hAnsi="Arial" w:cs="Arial"/>
          <w:b/>
          <w:bCs/>
          <w:color w:val="000099"/>
          <w:sz w:val="28"/>
          <w:szCs w:val="28"/>
        </w:rPr>
        <w:t xml:space="preserve">Stav čerpání k 31. </w:t>
      </w:r>
      <w:r w:rsidR="0034327B">
        <w:rPr>
          <w:rFonts w:ascii="Arial" w:hAnsi="Arial" w:cs="Arial"/>
          <w:b/>
          <w:bCs/>
          <w:color w:val="000099"/>
          <w:sz w:val="28"/>
          <w:szCs w:val="28"/>
        </w:rPr>
        <w:t>3</w:t>
      </w:r>
      <w:r w:rsidRPr="00BC2A27">
        <w:rPr>
          <w:rFonts w:ascii="Arial" w:hAnsi="Arial" w:cs="Arial"/>
          <w:b/>
          <w:bCs/>
          <w:color w:val="000099"/>
          <w:sz w:val="28"/>
          <w:szCs w:val="28"/>
        </w:rPr>
        <w:t>. 202</w:t>
      </w:r>
      <w:r w:rsidR="0034327B">
        <w:rPr>
          <w:rFonts w:ascii="Arial" w:hAnsi="Arial" w:cs="Arial"/>
          <w:b/>
          <w:bCs/>
          <w:color w:val="000099"/>
          <w:sz w:val="28"/>
          <w:szCs w:val="28"/>
        </w:rPr>
        <w:t>5</w:t>
      </w:r>
    </w:p>
    <w:p w14:paraId="43AA69BD" w14:textId="58D8735A" w:rsidR="00A717FA" w:rsidRPr="00D74202" w:rsidRDefault="00A717FA" w:rsidP="00A717F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 w:rsidRPr="00D74202">
        <w:rPr>
          <w:rFonts w:ascii="Arial" w:eastAsia="Arial" w:hAnsi="Arial" w:cs="Arial"/>
          <w:sz w:val="20"/>
          <w:szCs w:val="20"/>
        </w:rPr>
        <w:t xml:space="preserve">o konce </w:t>
      </w:r>
      <w:r w:rsidR="0034327B">
        <w:rPr>
          <w:rFonts w:ascii="Arial" w:eastAsia="Arial" w:hAnsi="Arial" w:cs="Arial"/>
          <w:sz w:val="20"/>
          <w:szCs w:val="20"/>
        </w:rPr>
        <w:t>března 2025</w:t>
      </w:r>
      <w:r w:rsidRPr="00D742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byly </w:t>
      </w:r>
      <w:r w:rsidRPr="00902D7B">
        <w:rPr>
          <w:rFonts w:ascii="Arial" w:eastAsia="Arial" w:hAnsi="Arial" w:cs="Arial"/>
          <w:b/>
          <w:sz w:val="20"/>
          <w:szCs w:val="20"/>
        </w:rPr>
        <w:t>předloženy projekty za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 </w:t>
      </w:r>
      <w:r w:rsidR="003378C5">
        <w:rPr>
          <w:rFonts w:ascii="Arial" w:eastAsia="Arial" w:hAnsi="Arial" w:cs="Arial"/>
          <w:b/>
          <w:bCs/>
          <w:sz w:val="20"/>
          <w:szCs w:val="20"/>
        </w:rPr>
        <w:t>576,5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 mld. Kč, což činí </w:t>
      </w:r>
      <w:r w:rsidR="00D8365A">
        <w:rPr>
          <w:rFonts w:ascii="Arial" w:eastAsia="Arial" w:hAnsi="Arial" w:cs="Arial"/>
          <w:b/>
          <w:bCs/>
          <w:sz w:val="20"/>
          <w:szCs w:val="20"/>
        </w:rPr>
        <w:t>10</w:t>
      </w:r>
      <w:r w:rsidR="003378C5">
        <w:rPr>
          <w:rFonts w:ascii="Arial" w:eastAsia="Arial" w:hAnsi="Arial" w:cs="Arial"/>
          <w:b/>
          <w:bCs/>
          <w:sz w:val="20"/>
          <w:szCs w:val="20"/>
        </w:rPr>
        <w:t>9,5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 % celkové alokace</w:t>
      </w:r>
      <w:r w:rsidRPr="00D74202">
        <w:rPr>
          <w:rFonts w:ascii="Arial" w:eastAsia="Arial" w:hAnsi="Arial" w:cs="Arial"/>
          <w:sz w:val="20"/>
          <w:szCs w:val="20"/>
        </w:rPr>
        <w:t xml:space="preserve">. </w:t>
      </w:r>
    </w:p>
    <w:p w14:paraId="7BA759D0" w14:textId="4C8A4EC7" w:rsidR="00A717FA" w:rsidRPr="00D74202" w:rsidRDefault="00A717FA" w:rsidP="00A717FA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 příjemci byly uzavřeny smlouvy</w:t>
      </w:r>
      <w:r w:rsidRPr="00D74202">
        <w:rPr>
          <w:rFonts w:ascii="Arial" w:eastAsia="Arial" w:hAnsi="Arial" w:cs="Arial"/>
          <w:sz w:val="20"/>
          <w:szCs w:val="20"/>
        </w:rPr>
        <w:t xml:space="preserve"> v celkové výši </w:t>
      </w:r>
      <w:r w:rsidR="00464B03">
        <w:rPr>
          <w:rFonts w:ascii="Arial" w:eastAsia="Arial" w:hAnsi="Arial" w:cs="Arial"/>
          <w:b/>
          <w:bCs/>
          <w:sz w:val="20"/>
          <w:szCs w:val="20"/>
        </w:rPr>
        <w:t>305,7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 mld. Kč, což činí </w:t>
      </w:r>
      <w:r w:rsidR="00D8365A">
        <w:rPr>
          <w:rFonts w:ascii="Arial" w:eastAsia="Arial" w:hAnsi="Arial" w:cs="Arial"/>
          <w:b/>
          <w:bCs/>
          <w:sz w:val="20"/>
          <w:szCs w:val="20"/>
        </w:rPr>
        <w:t>5</w:t>
      </w:r>
      <w:r w:rsidR="00464B03">
        <w:rPr>
          <w:rFonts w:ascii="Arial" w:eastAsia="Arial" w:hAnsi="Arial" w:cs="Arial"/>
          <w:b/>
          <w:bCs/>
          <w:sz w:val="20"/>
          <w:szCs w:val="20"/>
        </w:rPr>
        <w:t>8,1</w:t>
      </w:r>
      <w:r w:rsidRPr="00D74202">
        <w:rPr>
          <w:rFonts w:ascii="Arial" w:eastAsia="Arial" w:hAnsi="Arial" w:cs="Arial"/>
          <w:b/>
          <w:sz w:val="20"/>
          <w:szCs w:val="20"/>
        </w:rPr>
        <w:t> % celkové alokace programového období</w:t>
      </w:r>
      <w:r w:rsidRPr="00D74202">
        <w:rPr>
          <w:rFonts w:ascii="Arial" w:eastAsia="Arial" w:hAnsi="Arial" w:cs="Arial"/>
          <w:sz w:val="20"/>
          <w:szCs w:val="20"/>
        </w:rPr>
        <w:t xml:space="preserve">. </w:t>
      </w:r>
    </w:p>
    <w:p w14:paraId="5E2D7ED1" w14:textId="3FAD1124" w:rsidR="00A717FA" w:rsidRPr="00D74202" w:rsidRDefault="00A717FA" w:rsidP="00A717FA">
      <w:pPr>
        <w:jc w:val="both"/>
        <w:rPr>
          <w:rFonts w:ascii="Arial" w:eastAsia="Arial" w:hAnsi="Arial" w:cs="Arial"/>
          <w:sz w:val="20"/>
          <w:szCs w:val="20"/>
        </w:rPr>
      </w:pPr>
      <w:r w:rsidRPr="00D74202">
        <w:rPr>
          <w:rFonts w:ascii="Arial" w:eastAsia="Arial" w:hAnsi="Arial" w:cs="Arial"/>
          <w:b/>
          <w:sz w:val="20"/>
          <w:szCs w:val="20"/>
        </w:rPr>
        <w:t>Příjemcům bylo proplaceno</w:t>
      </w:r>
      <w:r>
        <w:rPr>
          <w:rFonts w:ascii="Arial" w:eastAsia="Arial" w:hAnsi="Arial" w:cs="Arial"/>
          <w:b/>
          <w:sz w:val="20"/>
          <w:szCs w:val="20"/>
        </w:rPr>
        <w:t xml:space="preserve"> již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 </w:t>
      </w:r>
      <w:r w:rsidR="00464B03">
        <w:rPr>
          <w:rFonts w:ascii="Arial" w:eastAsia="Arial" w:hAnsi="Arial" w:cs="Arial"/>
          <w:b/>
          <w:bCs/>
          <w:sz w:val="20"/>
          <w:szCs w:val="20"/>
        </w:rPr>
        <w:t>107,3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 mld. Kč, tj. </w:t>
      </w:r>
      <w:r w:rsidR="00DA180E">
        <w:rPr>
          <w:rFonts w:ascii="Arial" w:eastAsia="Arial" w:hAnsi="Arial" w:cs="Arial"/>
          <w:b/>
          <w:bCs/>
          <w:sz w:val="20"/>
          <w:szCs w:val="20"/>
        </w:rPr>
        <w:t>20,4</w:t>
      </w:r>
      <w:r w:rsidRPr="00D74202">
        <w:rPr>
          <w:rFonts w:ascii="Arial" w:eastAsia="Arial" w:hAnsi="Arial" w:cs="Arial"/>
          <w:b/>
          <w:sz w:val="20"/>
          <w:szCs w:val="20"/>
        </w:rPr>
        <w:t> % celkové alokace</w:t>
      </w:r>
      <w:r w:rsidRPr="00D74202">
        <w:rPr>
          <w:rFonts w:ascii="Arial" w:eastAsia="Arial" w:hAnsi="Arial" w:cs="Arial"/>
          <w:sz w:val="20"/>
          <w:szCs w:val="20"/>
        </w:rPr>
        <w:t xml:space="preserve">. </w:t>
      </w:r>
    </w:p>
    <w:p w14:paraId="1266F451" w14:textId="7D3D8898" w:rsidR="00A717FA" w:rsidRDefault="00A717FA" w:rsidP="00A717FA">
      <w:pPr>
        <w:spacing w:after="360"/>
        <w:jc w:val="both"/>
        <w:rPr>
          <w:rFonts w:ascii="Arial" w:eastAsia="Arial" w:hAnsi="Arial" w:cs="Arial"/>
          <w:b/>
          <w:sz w:val="20"/>
          <w:szCs w:val="20"/>
        </w:rPr>
      </w:pPr>
      <w:r w:rsidRPr="00D74202">
        <w:rPr>
          <w:rFonts w:ascii="Arial" w:eastAsia="Arial" w:hAnsi="Arial" w:cs="Arial"/>
          <w:b/>
          <w:sz w:val="20"/>
          <w:szCs w:val="20"/>
        </w:rPr>
        <w:t xml:space="preserve">EK </w:t>
      </w:r>
      <w:r>
        <w:rPr>
          <w:rFonts w:ascii="Arial" w:eastAsia="Arial" w:hAnsi="Arial" w:cs="Arial"/>
          <w:b/>
          <w:sz w:val="20"/>
          <w:szCs w:val="20"/>
        </w:rPr>
        <w:t xml:space="preserve">byly 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odeslány žádosti o průběžnou platbu v celkové hodnotě </w:t>
      </w:r>
      <w:r w:rsidR="00D15720">
        <w:rPr>
          <w:rFonts w:ascii="Arial" w:eastAsia="Arial" w:hAnsi="Arial" w:cs="Arial"/>
          <w:b/>
          <w:bCs/>
          <w:sz w:val="20"/>
          <w:szCs w:val="20"/>
        </w:rPr>
        <w:t>71,6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 </w:t>
      </w:r>
      <w:r w:rsidRPr="75440297">
        <w:rPr>
          <w:rFonts w:ascii="Arial" w:eastAsia="Arial" w:hAnsi="Arial" w:cs="Arial"/>
          <w:b/>
          <w:bCs/>
          <w:sz w:val="20"/>
          <w:szCs w:val="20"/>
        </w:rPr>
        <w:t>mld.</w:t>
      </w:r>
      <w:r w:rsidRPr="00D74202">
        <w:rPr>
          <w:rFonts w:ascii="Arial" w:eastAsia="Arial" w:hAnsi="Arial" w:cs="Arial"/>
          <w:b/>
          <w:sz w:val="20"/>
          <w:szCs w:val="20"/>
        </w:rPr>
        <w:t xml:space="preserve"> Kč, tj. </w:t>
      </w:r>
      <w:r w:rsidR="00D8365A">
        <w:rPr>
          <w:rFonts w:ascii="Arial" w:eastAsia="Arial" w:hAnsi="Arial" w:cs="Arial"/>
          <w:b/>
          <w:bCs/>
          <w:sz w:val="20"/>
          <w:szCs w:val="20"/>
        </w:rPr>
        <w:t>1</w:t>
      </w:r>
      <w:r w:rsidR="00D15720">
        <w:rPr>
          <w:rFonts w:ascii="Arial" w:eastAsia="Arial" w:hAnsi="Arial" w:cs="Arial"/>
          <w:b/>
          <w:bCs/>
          <w:sz w:val="20"/>
          <w:szCs w:val="20"/>
        </w:rPr>
        <w:t>3,6</w:t>
      </w:r>
      <w:r w:rsidRPr="00D74202">
        <w:rPr>
          <w:rFonts w:ascii="Arial" w:eastAsia="Arial" w:hAnsi="Arial" w:cs="Arial"/>
          <w:b/>
          <w:sz w:val="20"/>
          <w:szCs w:val="20"/>
        </w:rPr>
        <w:t> % celkové alokace.</w:t>
      </w:r>
    </w:p>
    <w:p w14:paraId="12B7797B" w14:textId="6008B005" w:rsidR="00A717FA" w:rsidRPr="00362D78" w:rsidRDefault="00A717FA" w:rsidP="007323FC">
      <w:pPr>
        <w:keepNext/>
        <w:spacing w:after="120"/>
        <w:ind w:left="1418" w:right="-46" w:hanging="1418"/>
        <w:jc w:val="both"/>
        <w:rPr>
          <w:rFonts w:ascii="Arial" w:hAnsi="Arial" w:cs="Arial"/>
          <w:b/>
          <w:i/>
          <w:sz w:val="20"/>
        </w:rPr>
      </w:pPr>
      <w:r w:rsidRPr="00362D78">
        <w:rPr>
          <w:rFonts w:ascii="Arial" w:hAnsi="Arial" w:cs="Arial"/>
          <w:b/>
          <w:i/>
          <w:sz w:val="20"/>
        </w:rPr>
        <w:t xml:space="preserve">Tabulka č. </w:t>
      </w:r>
      <w:r w:rsidR="003A04D3">
        <w:rPr>
          <w:rFonts w:ascii="Arial" w:hAnsi="Arial" w:cs="Arial"/>
          <w:b/>
          <w:i/>
          <w:sz w:val="20"/>
        </w:rPr>
        <w:t>1</w:t>
      </w:r>
      <w:r w:rsidRPr="00362D78">
        <w:rPr>
          <w:rFonts w:ascii="Arial" w:hAnsi="Arial" w:cs="Arial"/>
          <w:b/>
          <w:i/>
          <w:sz w:val="20"/>
        </w:rPr>
        <w:t xml:space="preserve"> - </w:t>
      </w:r>
      <w:r>
        <w:rPr>
          <w:rFonts w:ascii="Arial" w:hAnsi="Arial" w:cs="Arial"/>
          <w:b/>
          <w:i/>
          <w:sz w:val="20"/>
        </w:rPr>
        <w:tab/>
      </w:r>
      <w:r w:rsidRPr="00362D78">
        <w:rPr>
          <w:rFonts w:ascii="Arial" w:hAnsi="Arial" w:cs="Arial"/>
          <w:b/>
          <w:i/>
          <w:sz w:val="20"/>
        </w:rPr>
        <w:t xml:space="preserve">Stav čerpání programového období 2021–2027 k 31. </w:t>
      </w:r>
      <w:r w:rsidR="0034327B">
        <w:rPr>
          <w:rFonts w:ascii="Arial" w:hAnsi="Arial" w:cs="Arial"/>
          <w:b/>
          <w:i/>
          <w:sz w:val="20"/>
        </w:rPr>
        <w:t>3</w:t>
      </w:r>
      <w:r w:rsidRPr="00362D78">
        <w:rPr>
          <w:rFonts w:ascii="Arial" w:hAnsi="Arial" w:cs="Arial"/>
          <w:b/>
          <w:i/>
          <w:sz w:val="20"/>
        </w:rPr>
        <w:t>. 202</w:t>
      </w:r>
      <w:r w:rsidR="0034327B">
        <w:rPr>
          <w:rFonts w:ascii="Arial" w:hAnsi="Arial" w:cs="Arial"/>
          <w:b/>
          <w:i/>
          <w:sz w:val="20"/>
        </w:rPr>
        <w:t>5</w:t>
      </w:r>
      <w:r w:rsidRPr="00362D78">
        <w:rPr>
          <w:rFonts w:ascii="Arial" w:hAnsi="Arial" w:cs="Arial"/>
          <w:b/>
          <w:i/>
          <w:sz w:val="20"/>
        </w:rPr>
        <w:t xml:space="preserve"> (příspěvek Unie, CZK)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993"/>
        <w:gridCol w:w="710"/>
        <w:gridCol w:w="567"/>
        <w:gridCol w:w="848"/>
        <w:gridCol w:w="641"/>
        <w:gridCol w:w="645"/>
        <w:gridCol w:w="847"/>
        <w:gridCol w:w="645"/>
        <w:gridCol w:w="908"/>
        <w:gridCol w:w="580"/>
        <w:gridCol w:w="782"/>
      </w:tblGrid>
      <w:tr w:rsidR="00A717FA" w:rsidRPr="00DE3A91" w14:paraId="6240B5D0" w14:textId="77777777" w:rsidTr="003A6710">
        <w:trPr>
          <w:trHeight w:val="765"/>
        </w:trPr>
        <w:tc>
          <w:tcPr>
            <w:tcW w:w="466" w:type="pct"/>
            <w:vMerge w:val="restart"/>
            <w:shd w:val="clear" w:color="auto" w:fill="000099"/>
            <w:vAlign w:val="center"/>
            <w:hideMark/>
          </w:tcPr>
          <w:p w14:paraId="23BC240D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cs-CZ"/>
              </w:rPr>
              <w:t>Program</w:t>
            </w:r>
          </w:p>
        </w:tc>
        <w:tc>
          <w:tcPr>
            <w:tcW w:w="551" w:type="pct"/>
            <w:shd w:val="clear" w:color="auto" w:fill="000099"/>
            <w:vAlign w:val="center"/>
            <w:hideMark/>
          </w:tcPr>
          <w:p w14:paraId="03BFBB54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Celková alokace Dohody o partnerství</w:t>
            </w:r>
          </w:p>
        </w:tc>
        <w:tc>
          <w:tcPr>
            <w:tcW w:w="1180" w:type="pct"/>
            <w:gridSpan w:val="3"/>
            <w:shd w:val="clear" w:color="auto" w:fill="000099"/>
            <w:vAlign w:val="center"/>
            <w:hideMark/>
          </w:tcPr>
          <w:p w14:paraId="6D822642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Finanční prostředky 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zaregistrovaných žádostech o podporu</w:t>
            </w:r>
          </w:p>
        </w:tc>
        <w:tc>
          <w:tcPr>
            <w:tcW w:w="1184" w:type="pct"/>
            <w:gridSpan w:val="3"/>
            <w:shd w:val="clear" w:color="auto" w:fill="000099"/>
            <w:vAlign w:val="center"/>
            <w:hideMark/>
          </w:tcPr>
          <w:p w14:paraId="35029A47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Finanční prostředky 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právních aktech </w:t>
            </w:r>
          </w:p>
        </w:tc>
        <w:tc>
          <w:tcPr>
            <w:tcW w:w="862" w:type="pct"/>
            <w:gridSpan w:val="2"/>
            <w:shd w:val="clear" w:color="auto" w:fill="000099"/>
            <w:vAlign w:val="center"/>
            <w:hideMark/>
          </w:tcPr>
          <w:p w14:paraId="3FE569A3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Finanční prostředky proplacené 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žádostech o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platbu</w:t>
            </w:r>
          </w:p>
        </w:tc>
        <w:tc>
          <w:tcPr>
            <w:tcW w:w="756" w:type="pct"/>
            <w:gridSpan w:val="2"/>
            <w:shd w:val="clear" w:color="auto" w:fill="000099"/>
            <w:vAlign w:val="center"/>
            <w:hideMark/>
          </w:tcPr>
          <w:p w14:paraId="5F1275DE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Finanční prostředky 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žádostech o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platbu odeslané EK</w:t>
            </w:r>
          </w:p>
        </w:tc>
      </w:tr>
      <w:tr w:rsidR="00A717FA" w:rsidRPr="00DE3A91" w14:paraId="7FD803C4" w14:textId="77777777" w:rsidTr="003A6710">
        <w:trPr>
          <w:trHeight w:val="525"/>
        </w:trPr>
        <w:tc>
          <w:tcPr>
            <w:tcW w:w="466" w:type="pct"/>
            <w:vMerge/>
            <w:shd w:val="clear" w:color="auto" w:fill="000099"/>
            <w:vAlign w:val="center"/>
            <w:hideMark/>
          </w:tcPr>
          <w:p w14:paraId="678BE98A" w14:textId="77777777" w:rsidR="00A717FA" w:rsidRPr="00DE3A91" w:rsidRDefault="00A717FA" w:rsidP="003A6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1" w:type="pct"/>
            <w:shd w:val="clear" w:color="auto" w:fill="000099"/>
            <w:vAlign w:val="center"/>
            <w:hideMark/>
          </w:tcPr>
          <w:p w14:paraId="7D8B526F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mld. CZK (podíl EU)</w:t>
            </w:r>
          </w:p>
        </w:tc>
        <w:tc>
          <w:tcPr>
            <w:tcW w:w="394" w:type="pct"/>
            <w:shd w:val="clear" w:color="auto" w:fill="000099"/>
            <w:vAlign w:val="center"/>
            <w:hideMark/>
          </w:tcPr>
          <w:p w14:paraId="64E65D77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315" w:type="pct"/>
            <w:shd w:val="clear" w:color="auto" w:fill="000099"/>
            <w:vAlign w:val="center"/>
            <w:hideMark/>
          </w:tcPr>
          <w:p w14:paraId="749C82DB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mld. CZK (podíl EU)</w:t>
            </w:r>
          </w:p>
        </w:tc>
        <w:tc>
          <w:tcPr>
            <w:tcW w:w="471" w:type="pct"/>
            <w:shd w:val="clear" w:color="auto" w:fill="000099"/>
            <w:vAlign w:val="center"/>
            <w:hideMark/>
          </w:tcPr>
          <w:p w14:paraId="33550997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 (celk. alokace)</w:t>
            </w:r>
          </w:p>
        </w:tc>
        <w:tc>
          <w:tcPr>
            <w:tcW w:w="356" w:type="pct"/>
            <w:shd w:val="clear" w:color="auto" w:fill="000099"/>
            <w:vAlign w:val="center"/>
            <w:hideMark/>
          </w:tcPr>
          <w:p w14:paraId="605DAD69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358" w:type="pct"/>
            <w:shd w:val="clear" w:color="auto" w:fill="000099"/>
            <w:vAlign w:val="center"/>
            <w:hideMark/>
          </w:tcPr>
          <w:p w14:paraId="04D280E5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mld. CZK (podíl EU)</w:t>
            </w:r>
          </w:p>
        </w:tc>
        <w:tc>
          <w:tcPr>
            <w:tcW w:w="470" w:type="pct"/>
            <w:shd w:val="clear" w:color="auto" w:fill="000099"/>
            <w:vAlign w:val="center"/>
            <w:hideMark/>
          </w:tcPr>
          <w:p w14:paraId="1AA78C50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 (celk. alokace)</w:t>
            </w:r>
          </w:p>
        </w:tc>
        <w:tc>
          <w:tcPr>
            <w:tcW w:w="358" w:type="pct"/>
            <w:shd w:val="clear" w:color="auto" w:fill="000099"/>
            <w:vAlign w:val="center"/>
            <w:hideMark/>
          </w:tcPr>
          <w:p w14:paraId="28BE989A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mld. CZK (podíl EU)</w:t>
            </w:r>
          </w:p>
        </w:tc>
        <w:tc>
          <w:tcPr>
            <w:tcW w:w="504" w:type="pct"/>
            <w:shd w:val="clear" w:color="auto" w:fill="000099"/>
            <w:vAlign w:val="center"/>
            <w:hideMark/>
          </w:tcPr>
          <w:p w14:paraId="32F126FC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 (celk. alokace)</w:t>
            </w:r>
          </w:p>
        </w:tc>
        <w:tc>
          <w:tcPr>
            <w:tcW w:w="322" w:type="pct"/>
            <w:shd w:val="clear" w:color="auto" w:fill="000099"/>
            <w:vAlign w:val="center"/>
            <w:hideMark/>
          </w:tcPr>
          <w:p w14:paraId="68715F9F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mld</w:t>
            </w: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CZK (podíl EU)</w:t>
            </w:r>
          </w:p>
        </w:tc>
        <w:tc>
          <w:tcPr>
            <w:tcW w:w="434" w:type="pct"/>
            <w:shd w:val="clear" w:color="auto" w:fill="000099"/>
            <w:vAlign w:val="center"/>
            <w:hideMark/>
          </w:tcPr>
          <w:p w14:paraId="606E3AF0" w14:textId="77777777" w:rsidR="00A717FA" w:rsidRPr="00DE3A91" w:rsidRDefault="00A717FA" w:rsidP="003A6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 (celk. alokace)</w:t>
            </w:r>
          </w:p>
        </w:tc>
      </w:tr>
      <w:tr w:rsidR="00D8365A" w:rsidRPr="00DE3A91" w14:paraId="14EBB375" w14:textId="77777777" w:rsidTr="00961CC2">
        <w:trPr>
          <w:trHeight w:val="300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1D157CB4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TAK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DBAAA" w14:textId="53DA65AE" w:rsidR="00D8365A" w:rsidRPr="00D8365A" w:rsidRDefault="002A08CC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78,4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EEB38" w14:textId="5B67A7B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7 262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2868E" w14:textId="32999229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94,1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0CCCD" w14:textId="49249F79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120,0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DBECC" w14:textId="4CB93F1D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 xml:space="preserve">3 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D685D" w14:textId="79B720AF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33,3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795981" w14:textId="3BFF2D97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42,5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79AA" w14:textId="6F84AAD0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3,8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274A66" w14:textId="123A9E6E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,9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E426" w14:textId="5B8BE038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4,1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F066F61" w14:textId="6FBCC3E2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,2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D8365A" w:rsidRPr="00DE3A91" w14:paraId="3D0B523E" w14:textId="77777777" w:rsidTr="00961CC2">
        <w:trPr>
          <w:trHeight w:val="300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31505377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JAK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ECC67" w14:textId="7C7BB44D" w:rsidR="00D8365A" w:rsidRPr="00D8365A" w:rsidRDefault="002A08CC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63,5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472E4" w14:textId="612C0079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13 169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88F2F" w14:textId="701B0FCD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84,3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9EFBE" w14:textId="1D06D23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132,8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F148D" w14:textId="238E4CEE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11 498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45ED5" w14:textId="252A0C99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45,7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6E3A6" w14:textId="4784C99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72,0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84215" w14:textId="6DDCF915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19,6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7BCCE2" w14:textId="6DDCB009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,9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FEF36" w14:textId="039A6698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4,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738E739" w14:textId="37B395FC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6,2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D8365A" w:rsidRPr="00DE3A91" w14:paraId="7E39AFC1" w14:textId="77777777" w:rsidTr="00961CC2">
        <w:trPr>
          <w:trHeight w:val="300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765EFADF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Z+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B41DC" w14:textId="30C0E3FC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36,</w:t>
            </w:r>
            <w:r w:rsidR="002A08CC" w:rsidRPr="00984999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A70B5" w14:textId="2724C109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sz w:val="14"/>
                <w:szCs w:val="14"/>
              </w:rPr>
              <w:t xml:space="preserve">5 </w:t>
            </w:r>
            <w:r w:rsidR="00984999" w:rsidRPr="00984999">
              <w:rPr>
                <w:rFonts w:ascii="Arial" w:hAnsi="Arial" w:cs="Arial"/>
                <w:sz w:val="14"/>
                <w:szCs w:val="14"/>
              </w:rPr>
              <w:t>440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2BD26" w14:textId="480E4026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43,1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F3C22" w14:textId="29BAE84A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118,8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2E2AF" w14:textId="0A840427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 xml:space="preserve">2 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F107E" w14:textId="059FF0F6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25,3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687F1A" w14:textId="4C3616CB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69,8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0CD4D" w14:textId="676303DA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11,0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10067" w14:textId="465A2D73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30,3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94BF5" w14:textId="43CA8315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5,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B13B5FE" w14:textId="7F8DB923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15,8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D8365A" w:rsidRPr="00DE3A91" w14:paraId="49513B29" w14:textId="77777777" w:rsidTr="00961CC2">
        <w:trPr>
          <w:trHeight w:val="300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06188131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D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0F4DD" w14:textId="72F717AE" w:rsidR="00D8365A" w:rsidRPr="00D8365A" w:rsidRDefault="002A08CC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,2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EA7BE" w14:textId="48FEF116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5D567" w14:textId="7773AC02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129,3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E89ECB" w14:textId="026E18BB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106,7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0AB70" w14:textId="6D969322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DAB6C" w14:textId="44977F2E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70,8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862FDD" w14:textId="5215566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58,4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7251F" w14:textId="538B37A7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39,6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880F93" w14:textId="0C8E6913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32,6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A30E1" w14:textId="028A1632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32,1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5C1DD3D" w14:textId="7B0476B0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26,7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D8365A" w:rsidRPr="00DE3A91" w14:paraId="7AF5598D" w14:textId="77777777" w:rsidTr="00961CC2">
        <w:trPr>
          <w:trHeight w:val="300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4C57711B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ŽP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AF126" w14:textId="0C5465F3" w:rsidR="00D8365A" w:rsidRPr="00D8365A" w:rsidRDefault="002A08CC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62,7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21E90" w14:textId="4ADD9E97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 xml:space="preserve">5 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B5965" w14:textId="3319DAFE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84,8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A164CB" w14:textId="54B77A1A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135,2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45ED7" w14:textId="642611C0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 xml:space="preserve">2 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7468F" w14:textId="2383EDF0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41,3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AA2D5" w14:textId="17A022B5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65,9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598C6" w14:textId="51DD3413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14,3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C2C423" w14:textId="4E61BEA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22,8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B5540" w14:textId="26B9A46E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13,0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C322656" w14:textId="754A2B41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20,6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D8365A" w:rsidRPr="00DE3A91" w14:paraId="423B37AB" w14:textId="77777777" w:rsidTr="00961CC2">
        <w:trPr>
          <w:trHeight w:val="300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31796BC9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IROP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8D7B6" w14:textId="1CD7D8F2" w:rsidR="00D8365A" w:rsidRPr="00D8365A" w:rsidRDefault="002A08CC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117,0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824DB" w14:textId="1E13F401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6 308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AA0D5" w14:textId="7E8494FD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97,9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8B27D" w14:textId="1DD40BD2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83,7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45E91" w14:textId="2E29E5F9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4 228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CD5F1" w14:textId="1868575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59,9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583C4A" w14:textId="75602E33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51,2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DD680" w14:textId="504B6B57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12,5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EAAA64" w14:textId="16DB7106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10,7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79985" w14:textId="5A75D530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9,6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4E938F7" w14:textId="408E8EA3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8,2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D8365A" w:rsidRPr="00DE3A91" w14:paraId="7173A3A6" w14:textId="77777777" w:rsidTr="00961CC2">
        <w:trPr>
          <w:trHeight w:val="300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74D37016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TP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FB71" w14:textId="1FAA8233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5,</w:t>
            </w:r>
            <w:r w:rsidR="002A08CC" w:rsidRPr="00984999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E1D34" w14:textId="5B67AA39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3372B" w14:textId="32FA25A6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38604F" w14:textId="6AD62FA2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54,2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3A1EC" w14:textId="5DD9361B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7B1DF" w14:textId="70FD99E6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sz w:val="14"/>
                <w:szCs w:val="14"/>
              </w:rPr>
              <w:t>2,</w:t>
            </w:r>
            <w:r w:rsidR="00984999" w:rsidRPr="00984999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6FC1BB" w14:textId="05D9606E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51,9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7F761" w14:textId="1D9D51D0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1,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8A12E9" w14:textId="7B8BA5AE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18,5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6A36" w14:textId="55E4D9B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1,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A6B4CF2" w14:textId="3802E8F8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18,0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D8365A" w:rsidRPr="00DE3A91" w14:paraId="1D76FE60" w14:textId="77777777" w:rsidTr="00961CC2">
        <w:trPr>
          <w:trHeight w:val="300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7C59F8EF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R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FDCBE" w14:textId="6B51A089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0,8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41880" w14:textId="2E7D88B3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1CB82C" w14:textId="20F21518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D24960" w14:textId="35EE4A78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65,3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5B61A" w14:textId="1FC412DA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412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7CF32" w14:textId="4014048C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sz w:val="14"/>
                <w:szCs w:val="14"/>
              </w:rPr>
              <w:t>0,</w:t>
            </w:r>
            <w:r w:rsidR="00984999" w:rsidRPr="0098499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14A382" w14:textId="7F54FFD9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34,9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16CE6" w14:textId="0E558F8C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0,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07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B6FA6" w14:textId="6BB58A1D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8,7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700B5" w14:textId="14EF9AA3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0,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06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BB30295" w14:textId="1E75377C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7,9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D8365A" w:rsidRPr="00DE3A91" w14:paraId="770C397A" w14:textId="77777777" w:rsidTr="00961CC2">
        <w:trPr>
          <w:trHeight w:val="315"/>
        </w:trPr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7909603E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 ST</w:t>
            </w:r>
          </w:p>
        </w:tc>
        <w:tc>
          <w:tcPr>
            <w:tcW w:w="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33A4" w14:textId="3588A8F2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41,</w:t>
            </w:r>
            <w:r w:rsidR="002A08CC" w:rsidRPr="00984999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00400" w14:textId="38F5F6C7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917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663B9" w14:textId="4F090E5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9C5D04" w14:textId="11ABB7BC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96,4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2DC2" w14:textId="692DC572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410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3401" w14:textId="1BFC899F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sz w:val="14"/>
                <w:szCs w:val="14"/>
              </w:rPr>
              <w:t>26,1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103FA" w14:textId="7AE82842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63,7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239BB" w14:textId="07A5F13F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5,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BD7F57" w14:textId="2E806FF3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,2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2698" w14:textId="0E3C53E4" w:rsidR="00D8365A" w:rsidRPr="00D8365A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61CC2">
              <w:rPr>
                <w:rFonts w:ascii="Arial" w:hAnsi="Arial" w:cs="Arial"/>
                <w:color w:val="000000"/>
                <w:sz w:val="14"/>
                <w:szCs w:val="14"/>
              </w:rPr>
              <w:t>1,</w:t>
            </w:r>
            <w:r w:rsidR="00984999" w:rsidRPr="00984999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9943D9A" w14:textId="11DE4D1E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color w:val="000000"/>
                <w:sz w:val="14"/>
                <w:szCs w:val="14"/>
              </w:rPr>
              <w:t>4,7</w:t>
            </w:r>
            <w:r w:rsidR="00D8365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5A05B6" w:rsidRPr="00DE3A91" w14:paraId="0BA2D638" w14:textId="77777777" w:rsidTr="00D8365A">
        <w:trPr>
          <w:trHeight w:val="315"/>
        </w:trPr>
        <w:tc>
          <w:tcPr>
            <w:tcW w:w="466" w:type="pct"/>
            <w:shd w:val="clear" w:color="auto" w:fill="D9D9D9" w:themeFill="background1" w:themeFillShade="D9"/>
            <w:noWrap/>
            <w:vAlign w:val="center"/>
            <w:hideMark/>
          </w:tcPr>
          <w:p w14:paraId="2B05E9D1" w14:textId="77777777" w:rsidR="00D8365A" w:rsidRPr="00DE3A91" w:rsidRDefault="00D8365A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E3A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5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E7D15E" w14:textId="56C62B72" w:rsidR="00D8365A" w:rsidRPr="00D8365A" w:rsidRDefault="002A08CC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color w:val="000000"/>
                <w:sz w:val="14"/>
                <w:szCs w:val="14"/>
              </w:rPr>
              <w:t>526,3</w:t>
            </w:r>
          </w:p>
        </w:tc>
        <w:tc>
          <w:tcPr>
            <w:tcW w:w="3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57BFD8" w14:textId="169731E7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39 713</w:t>
            </w:r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6779E4" w14:textId="41623120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576,5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BBF10D" w14:textId="03B46E7C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109,5</w:t>
            </w:r>
            <w:r w:rsidR="00D8365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%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1B55AB" w14:textId="736D63D6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25 312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B241B6" w14:textId="469C0E57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305,7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8FAC9F" w14:textId="375D52B4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58,1</w:t>
            </w:r>
            <w:r w:rsidR="00D8365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%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DE30DE" w14:textId="6350E4E1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107,3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059E13" w14:textId="10538908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20,4</w:t>
            </w:r>
            <w:r w:rsidR="00D8365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%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8E082F" w14:textId="351F9CC8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71,6</w:t>
            </w:r>
          </w:p>
        </w:tc>
        <w:tc>
          <w:tcPr>
            <w:tcW w:w="4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DCBF48" w14:textId="18412CCD" w:rsidR="00D8365A" w:rsidRPr="00D8365A" w:rsidRDefault="00984999" w:rsidP="00D8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98499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13,6</w:t>
            </w:r>
            <w:r w:rsidR="00D8365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="00D8365A" w:rsidRPr="00961CC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%</w:t>
            </w:r>
          </w:p>
        </w:tc>
      </w:tr>
    </w:tbl>
    <w:p w14:paraId="0100EA81" w14:textId="77777777" w:rsidR="00A717FA" w:rsidRDefault="00A717FA" w:rsidP="00A717FA">
      <w:pPr>
        <w:spacing w:after="480"/>
        <w:rPr>
          <w:rFonts w:ascii="Arial" w:eastAsia="Arial" w:hAnsi="Arial" w:cs="Arial"/>
          <w:i/>
          <w:iCs/>
          <w:sz w:val="16"/>
          <w:szCs w:val="16"/>
        </w:rPr>
      </w:pPr>
      <w:r w:rsidRPr="00C151EE">
        <w:rPr>
          <w:rFonts w:ascii="Arial" w:eastAsia="Arial" w:hAnsi="Arial" w:cs="Arial"/>
          <w:i/>
          <w:iCs/>
          <w:sz w:val="16"/>
          <w:szCs w:val="16"/>
        </w:rPr>
        <w:t>Zdroj: MS</w:t>
      </w:r>
      <w:r>
        <w:rPr>
          <w:rFonts w:ascii="Arial" w:eastAsia="Arial" w:hAnsi="Arial" w:cs="Arial"/>
          <w:i/>
          <w:iCs/>
          <w:sz w:val="16"/>
          <w:szCs w:val="16"/>
        </w:rPr>
        <w:t>20</w:t>
      </w:r>
      <w:r w:rsidRPr="00C151EE">
        <w:rPr>
          <w:rFonts w:ascii="Arial" w:eastAsia="Arial" w:hAnsi="Arial" w:cs="Arial"/>
          <w:i/>
          <w:iCs/>
          <w:sz w:val="16"/>
          <w:szCs w:val="16"/>
        </w:rPr>
        <w:t>21+</w:t>
      </w:r>
    </w:p>
    <w:p w14:paraId="428DD2D1" w14:textId="4816F88A" w:rsidR="000D515F" w:rsidRDefault="00561AFD" w:rsidP="000D515F">
      <w:pPr>
        <w:rPr>
          <w:rFonts w:ascii="Arial" w:hAnsi="Arial" w:cs="Arial"/>
          <w:b/>
          <w:bCs/>
          <w:color w:val="000099"/>
          <w:sz w:val="28"/>
          <w:szCs w:val="28"/>
        </w:rPr>
      </w:pPr>
      <w:r w:rsidRPr="00965CCB">
        <w:rPr>
          <w:rFonts w:ascii="Arial" w:hAnsi="Arial" w:cs="Arial"/>
          <w:b/>
          <w:bCs/>
          <w:color w:val="000099"/>
          <w:sz w:val="28"/>
          <w:szCs w:val="28"/>
        </w:rPr>
        <w:t>Politika soudržnosti</w:t>
      </w:r>
      <w:r w:rsidR="000D515F">
        <w:rPr>
          <w:rFonts w:ascii="Arial" w:hAnsi="Arial" w:cs="Arial"/>
          <w:b/>
          <w:bCs/>
          <w:color w:val="000099"/>
          <w:sz w:val="28"/>
          <w:szCs w:val="28"/>
        </w:rPr>
        <w:t xml:space="preserve"> přináší výsledky</w:t>
      </w:r>
    </w:p>
    <w:p w14:paraId="25A9CD92" w14:textId="7EDA37E3" w:rsidR="000D515F" w:rsidRDefault="000D515F" w:rsidP="001709C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sz w:val="20"/>
        </w:rPr>
        <w:t xml:space="preserve">Důležitější, než samotné čerpání finančních prostředků je však </w:t>
      </w:r>
      <w:r w:rsidRPr="000D515F">
        <w:rPr>
          <w:rStyle w:val="normaltextrun"/>
          <w:rFonts w:ascii="Arial" w:hAnsi="Arial" w:cs="Arial"/>
          <w:b/>
          <w:bCs/>
          <w:sz w:val="20"/>
        </w:rPr>
        <w:t>zajištění významných a trvale prospěšných přínosů pro regiony a občany, kteří v nich žijí</w:t>
      </w:r>
      <w:r w:rsidRPr="000D515F">
        <w:rPr>
          <w:rStyle w:val="normaltextrun"/>
          <w:rFonts w:ascii="Arial" w:hAnsi="Arial" w:cs="Arial"/>
          <w:sz w:val="20"/>
        </w:rPr>
        <w:t>. I to se nám daří. Posuďte sami, čeho ve vybraných</w:t>
      </w:r>
      <w:r>
        <w:rPr>
          <w:rStyle w:val="normaltextrun"/>
          <w:rFonts w:ascii="Arial" w:hAnsi="Arial" w:cs="Arial"/>
          <w:sz w:val="20"/>
        </w:rPr>
        <w:t xml:space="preserve"> prioritních</w:t>
      </w:r>
      <w:r w:rsidRPr="000D515F">
        <w:rPr>
          <w:rStyle w:val="normaltextrun"/>
          <w:rFonts w:ascii="Arial" w:hAnsi="Arial" w:cs="Arial"/>
          <w:sz w:val="20"/>
        </w:rPr>
        <w:t xml:space="preserve"> oblastech </w:t>
      </w:r>
      <w:r w:rsidR="00C323A8">
        <w:rPr>
          <w:rStyle w:val="normaltextrun"/>
          <w:rFonts w:ascii="Arial" w:hAnsi="Arial" w:cs="Arial"/>
          <w:sz w:val="20"/>
        </w:rPr>
        <w:t xml:space="preserve">například </w:t>
      </w:r>
      <w:r w:rsidRPr="000D515F">
        <w:rPr>
          <w:rStyle w:val="normaltextrun"/>
          <w:rFonts w:ascii="Arial" w:hAnsi="Arial" w:cs="Arial"/>
          <w:sz w:val="20"/>
        </w:rPr>
        <w:t>dosahujeme.</w:t>
      </w:r>
      <w:r w:rsidRPr="000D515F">
        <w:rPr>
          <w:rStyle w:val="eop"/>
          <w:rFonts w:ascii="Arial" w:hAnsi="Arial" w:cs="Arial"/>
          <w:sz w:val="20"/>
        </w:rPr>
        <w:t> </w:t>
      </w:r>
      <w:r w:rsidRPr="000D515F">
        <w:rPr>
          <w:rStyle w:val="normaltextrun"/>
          <w:rFonts w:ascii="Arial" w:hAnsi="Arial" w:cs="Arial"/>
          <w:sz w:val="20"/>
        </w:rPr>
        <w:t>Je nutné také zmínit, že jsme teprve v polovině programového období. Očekáváme, že čísla budou signifikantně narůstat.</w:t>
      </w:r>
      <w:r w:rsidRPr="000D515F">
        <w:rPr>
          <w:rStyle w:val="eop"/>
          <w:rFonts w:ascii="Arial" w:hAnsi="Arial" w:cs="Arial"/>
          <w:sz w:val="20"/>
        </w:rPr>
        <w:t> </w:t>
      </w:r>
    </w:p>
    <w:p w14:paraId="7FD2B81E" w14:textId="51EE638A" w:rsidR="000D515F" w:rsidRDefault="000D515F" w:rsidP="001709C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</w:rPr>
      </w:pPr>
    </w:p>
    <w:p w14:paraId="416D7CB9" w14:textId="3472BC32" w:rsidR="000D515F" w:rsidRPr="001709CD" w:rsidRDefault="000D515F" w:rsidP="00965CCB">
      <w:pPr>
        <w:pStyle w:val="paragraph"/>
        <w:spacing w:before="0" w:beforeAutospacing="0" w:after="120" w:afterAutospacing="0"/>
        <w:jc w:val="both"/>
        <w:textAlignment w:val="baseline"/>
        <w:rPr>
          <w:rFonts w:ascii="Arial" w:hAnsi="Arial" w:cs="Arial"/>
          <w:b/>
        </w:rPr>
      </w:pPr>
      <w:r w:rsidRPr="001709CD">
        <w:rPr>
          <w:rFonts w:ascii="Arial" w:hAnsi="Arial" w:cs="Arial"/>
          <w:b/>
        </w:rPr>
        <w:t>Klademe důraz na ochranu životního prostředí!</w:t>
      </w:r>
    </w:p>
    <w:p w14:paraId="7E4031C7" w14:textId="36C68934" w:rsidR="000D515F" w:rsidRPr="000D515F" w:rsidRDefault="000D515F" w:rsidP="00965CCB">
      <w:pPr>
        <w:pStyle w:val="paragraph"/>
        <w:numPr>
          <w:ilvl w:val="0"/>
          <w:numId w:val="30"/>
        </w:numPr>
        <w:spacing w:before="0" w:beforeAutospacing="0" w:after="120" w:afterAutospacing="0"/>
        <w:ind w:left="357" w:hanging="357"/>
        <w:jc w:val="both"/>
        <w:textAlignment w:val="baseline"/>
        <w:rPr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sz w:val="20"/>
        </w:rPr>
        <w:t xml:space="preserve">Právě díky fondům EU umožníme více než </w:t>
      </w:r>
      <w:r w:rsidRPr="000D515F">
        <w:rPr>
          <w:rStyle w:val="normaltextrun"/>
          <w:rFonts w:ascii="Arial" w:hAnsi="Arial" w:cs="Arial"/>
          <w:b/>
          <w:bCs/>
          <w:sz w:val="20"/>
        </w:rPr>
        <w:t>1 milionu lidí ve městech</w:t>
      </w:r>
      <w:r w:rsidRPr="000D515F">
        <w:rPr>
          <w:rStyle w:val="normaltextrun"/>
          <w:rFonts w:ascii="Arial" w:hAnsi="Arial" w:cs="Arial"/>
          <w:sz w:val="20"/>
        </w:rPr>
        <w:t xml:space="preserve"> žít v blízkosti krásných veřejných zelených ploch, což výrazně z</w:t>
      </w:r>
      <w:r>
        <w:rPr>
          <w:rStyle w:val="normaltextrun"/>
          <w:rFonts w:ascii="Arial" w:hAnsi="Arial" w:cs="Arial"/>
          <w:sz w:val="20"/>
        </w:rPr>
        <w:t>lepšuje kvalitu jejich života.</w:t>
      </w:r>
    </w:p>
    <w:p w14:paraId="06785488" w14:textId="078082BF" w:rsidR="000D515F" w:rsidRPr="000D515F" w:rsidRDefault="000D515F" w:rsidP="00965CCB">
      <w:pPr>
        <w:pStyle w:val="paragraph"/>
        <w:numPr>
          <w:ilvl w:val="0"/>
          <w:numId w:val="30"/>
        </w:numPr>
        <w:spacing w:before="0" w:beforeAutospacing="0" w:after="120" w:afterAutospacing="0"/>
        <w:ind w:left="357" w:hanging="357"/>
        <w:jc w:val="both"/>
        <w:textAlignment w:val="baseline"/>
        <w:rPr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sz w:val="20"/>
        </w:rPr>
        <w:t xml:space="preserve">Naše zaměření na úsporu primární energie z neobnovitelných zdrojů již přineslo výsledky – </w:t>
      </w:r>
      <w:r w:rsidRPr="000D515F">
        <w:rPr>
          <w:rStyle w:val="normaltextrun"/>
          <w:rFonts w:ascii="Arial" w:hAnsi="Arial" w:cs="Arial"/>
          <w:b/>
          <w:bCs/>
          <w:sz w:val="20"/>
        </w:rPr>
        <w:t>uspořili jsme přes 736 tisíc GJ ročně</w:t>
      </w:r>
      <w:r>
        <w:rPr>
          <w:rStyle w:val="normaltextrun"/>
          <w:rFonts w:ascii="Arial" w:hAnsi="Arial" w:cs="Arial"/>
          <w:sz w:val="20"/>
        </w:rPr>
        <w:t>.</w:t>
      </w:r>
    </w:p>
    <w:p w14:paraId="514F8DCB" w14:textId="3F33A996" w:rsidR="000D515F" w:rsidRPr="000D515F" w:rsidRDefault="000D515F" w:rsidP="00965CCB">
      <w:pPr>
        <w:pStyle w:val="paragraph"/>
        <w:numPr>
          <w:ilvl w:val="0"/>
          <w:numId w:val="30"/>
        </w:numPr>
        <w:spacing w:before="0" w:beforeAutospacing="0" w:after="360" w:afterAutospacing="0"/>
        <w:ind w:left="357" w:hanging="357"/>
        <w:jc w:val="both"/>
        <w:textAlignment w:val="baseline"/>
        <w:rPr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sz w:val="20"/>
        </w:rPr>
        <w:t xml:space="preserve">V plánu máme také snížit množství odpadních vod </w:t>
      </w:r>
      <w:r w:rsidRPr="000D515F">
        <w:rPr>
          <w:rStyle w:val="normaltextrun"/>
          <w:rFonts w:ascii="Arial" w:hAnsi="Arial" w:cs="Arial"/>
          <w:b/>
          <w:bCs/>
          <w:sz w:val="20"/>
        </w:rPr>
        <w:t>o 26 200 m³ ročně</w:t>
      </w:r>
      <w:r w:rsidRPr="000D515F">
        <w:rPr>
          <w:rStyle w:val="normaltextrun"/>
          <w:rFonts w:ascii="Arial" w:hAnsi="Arial" w:cs="Arial"/>
          <w:sz w:val="20"/>
        </w:rPr>
        <w:t>, což má pozitivní do</w:t>
      </w:r>
      <w:r>
        <w:rPr>
          <w:rStyle w:val="normaltextrun"/>
          <w:rFonts w:ascii="Arial" w:hAnsi="Arial" w:cs="Arial"/>
          <w:sz w:val="20"/>
        </w:rPr>
        <w:t>pad na naše životní prostředí.</w:t>
      </w:r>
    </w:p>
    <w:p w14:paraId="60D710AC" w14:textId="1691A46D" w:rsidR="000D515F" w:rsidRPr="001709CD" w:rsidRDefault="000D515F" w:rsidP="00965CCB">
      <w:pPr>
        <w:pStyle w:val="paragraph"/>
        <w:spacing w:before="0" w:beforeAutospacing="0" w:after="120" w:afterAutospacing="0"/>
        <w:jc w:val="both"/>
        <w:textAlignment w:val="baseline"/>
        <w:rPr>
          <w:sz w:val="32"/>
        </w:rPr>
      </w:pPr>
      <w:r w:rsidRPr="001709CD">
        <w:rPr>
          <w:rFonts w:ascii="Arial" w:hAnsi="Arial" w:cs="Arial"/>
          <w:b/>
        </w:rPr>
        <w:lastRenderedPageBreak/>
        <w:t>Podporujeme digitalizaci a konektivitu!</w:t>
      </w:r>
    </w:p>
    <w:p w14:paraId="2B1B3881" w14:textId="5B2686E4" w:rsidR="000D515F" w:rsidRPr="000D515F" w:rsidRDefault="000D515F" w:rsidP="00965CCB">
      <w:pPr>
        <w:pStyle w:val="paragraph"/>
        <w:numPr>
          <w:ilvl w:val="0"/>
          <w:numId w:val="31"/>
        </w:numPr>
        <w:spacing w:before="0" w:beforeAutospacing="0" w:after="120" w:afterAutospacing="0"/>
        <w:jc w:val="both"/>
        <w:textAlignment w:val="baseline"/>
        <w:rPr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sz w:val="20"/>
        </w:rPr>
        <w:t xml:space="preserve">Díky efektivnímu využití fondů EU umožníme </w:t>
      </w:r>
      <w:r w:rsidRPr="000D515F">
        <w:rPr>
          <w:rStyle w:val="normaltextrun"/>
          <w:rFonts w:ascii="Arial" w:hAnsi="Arial" w:cs="Arial"/>
          <w:b/>
          <w:bCs/>
          <w:sz w:val="20"/>
        </w:rPr>
        <w:t>více než 1,2 milionu uživatelů používat nové a vylepšené digitální služby</w:t>
      </w:r>
      <w:r>
        <w:rPr>
          <w:rStyle w:val="normaltextrun"/>
          <w:rFonts w:ascii="Arial" w:hAnsi="Arial" w:cs="Arial"/>
          <w:sz w:val="20"/>
        </w:rPr>
        <w:t>.</w:t>
      </w:r>
    </w:p>
    <w:p w14:paraId="4E536A14" w14:textId="077B95FF" w:rsidR="000D515F" w:rsidRPr="000D515F" w:rsidRDefault="000D515F" w:rsidP="00965CCB">
      <w:pPr>
        <w:pStyle w:val="paragraph"/>
        <w:numPr>
          <w:ilvl w:val="0"/>
          <w:numId w:val="31"/>
        </w:numPr>
        <w:spacing w:before="0" w:beforeAutospacing="0" w:after="120" w:afterAutospacing="0"/>
        <w:jc w:val="both"/>
        <w:textAlignment w:val="baseline"/>
        <w:rPr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sz w:val="20"/>
        </w:rPr>
        <w:t xml:space="preserve">Plánujeme </w:t>
      </w:r>
      <w:r w:rsidRPr="000D515F">
        <w:rPr>
          <w:rStyle w:val="normaltextrun"/>
          <w:rFonts w:ascii="Arial" w:hAnsi="Arial" w:cs="Arial"/>
          <w:b/>
          <w:bCs/>
          <w:sz w:val="20"/>
        </w:rPr>
        <w:t>podpořit 1 000 obcí v budování a používání rychlého internetu</w:t>
      </w:r>
      <w:r w:rsidRPr="000D515F">
        <w:rPr>
          <w:rStyle w:val="normaltextrun"/>
          <w:rFonts w:ascii="Arial" w:hAnsi="Arial" w:cs="Arial"/>
          <w:sz w:val="20"/>
        </w:rPr>
        <w:t xml:space="preserve">, což přispěje k lepší konektivitě </w:t>
      </w:r>
      <w:r>
        <w:rPr>
          <w:rStyle w:val="normaltextrun"/>
          <w:rFonts w:ascii="Arial" w:hAnsi="Arial" w:cs="Arial"/>
          <w:sz w:val="20"/>
        </w:rPr>
        <w:t>a rozvoji venkovských oblastí.</w:t>
      </w:r>
    </w:p>
    <w:p w14:paraId="0263F8AA" w14:textId="77777777" w:rsidR="000D515F" w:rsidRDefault="000D515F" w:rsidP="00965CCB">
      <w:pPr>
        <w:pStyle w:val="paragraph"/>
        <w:numPr>
          <w:ilvl w:val="0"/>
          <w:numId w:val="31"/>
        </w:numPr>
        <w:spacing w:before="0" w:beforeAutospacing="0" w:after="360" w:afterAutospacing="0"/>
        <w:ind w:left="357" w:hanging="357"/>
        <w:jc w:val="both"/>
        <w:textAlignment w:val="baseline"/>
        <w:rPr>
          <w:rStyle w:val="normaltextrun"/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b/>
          <w:bCs/>
          <w:sz w:val="20"/>
        </w:rPr>
        <w:t>Pomůžeme 614 firmám využívat moderní digitální technologie</w:t>
      </w:r>
      <w:r w:rsidRPr="000D515F">
        <w:rPr>
          <w:rStyle w:val="normaltextrun"/>
          <w:rFonts w:ascii="Arial" w:hAnsi="Arial" w:cs="Arial"/>
          <w:sz w:val="20"/>
        </w:rPr>
        <w:t xml:space="preserve"> a tím zvyšujeme jejich konkurenceschopnost na trhu.</w:t>
      </w:r>
    </w:p>
    <w:p w14:paraId="4678C951" w14:textId="21314AE4" w:rsidR="00423B18" w:rsidRPr="001709CD" w:rsidRDefault="00423B18" w:rsidP="00965CCB">
      <w:pPr>
        <w:pStyle w:val="paragraph"/>
        <w:spacing w:before="0" w:beforeAutospacing="0" w:after="120" w:afterAutospacing="0"/>
        <w:jc w:val="both"/>
        <w:textAlignment w:val="baseline"/>
        <w:rPr>
          <w:rFonts w:ascii="Arial" w:hAnsi="Arial" w:cs="Arial"/>
          <w:b/>
        </w:rPr>
      </w:pPr>
      <w:r w:rsidRPr="001709CD">
        <w:rPr>
          <w:rFonts w:ascii="Arial" w:hAnsi="Arial" w:cs="Arial"/>
          <w:b/>
        </w:rPr>
        <w:t>Zaměřujeme se na vědu, výzkum a inovace!</w:t>
      </w:r>
    </w:p>
    <w:p w14:paraId="5A3934A4" w14:textId="482F8E20" w:rsidR="000D515F" w:rsidRPr="000D515F" w:rsidRDefault="000D515F" w:rsidP="00965CCB">
      <w:pPr>
        <w:pStyle w:val="paragraph"/>
        <w:numPr>
          <w:ilvl w:val="0"/>
          <w:numId w:val="32"/>
        </w:numPr>
        <w:spacing w:before="0" w:beforeAutospacing="0" w:after="120" w:afterAutospacing="0"/>
        <w:jc w:val="both"/>
        <w:textAlignment w:val="baseline"/>
        <w:rPr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sz w:val="20"/>
        </w:rPr>
        <w:t xml:space="preserve">Podpořili jsme </w:t>
      </w:r>
      <w:r w:rsidRPr="000D515F">
        <w:rPr>
          <w:rStyle w:val="normaltextrun"/>
          <w:rFonts w:ascii="Arial" w:hAnsi="Arial" w:cs="Arial"/>
          <w:b/>
          <w:bCs/>
          <w:sz w:val="20"/>
        </w:rPr>
        <w:t>více než 3 700 osob v oblasti vědy a výzkumu</w:t>
      </w:r>
      <w:r w:rsidRPr="000D515F">
        <w:rPr>
          <w:rStyle w:val="normaltextrun"/>
          <w:rFonts w:ascii="Arial" w:hAnsi="Arial" w:cs="Arial"/>
          <w:sz w:val="20"/>
        </w:rPr>
        <w:t>, což přispívá k jedinečným inov</w:t>
      </w:r>
      <w:r w:rsidR="00423B18">
        <w:rPr>
          <w:rStyle w:val="normaltextrun"/>
          <w:rFonts w:ascii="Arial" w:hAnsi="Arial" w:cs="Arial"/>
          <w:sz w:val="20"/>
        </w:rPr>
        <w:t>acím a technologickému pokroku.</w:t>
      </w:r>
    </w:p>
    <w:p w14:paraId="53881C57" w14:textId="77777777" w:rsidR="00423B18" w:rsidRDefault="000D515F" w:rsidP="00965CCB">
      <w:pPr>
        <w:pStyle w:val="paragraph"/>
        <w:numPr>
          <w:ilvl w:val="0"/>
          <w:numId w:val="32"/>
        </w:numPr>
        <w:spacing w:before="0" w:beforeAutospacing="0" w:after="120" w:afterAutospacing="0"/>
        <w:jc w:val="both"/>
        <w:textAlignment w:val="baseline"/>
        <w:rPr>
          <w:rFonts w:ascii="Arial" w:hAnsi="Arial" w:cs="Arial"/>
          <w:sz w:val="20"/>
        </w:rPr>
      </w:pPr>
      <w:r w:rsidRPr="000D515F">
        <w:rPr>
          <w:rStyle w:val="normaltextrun"/>
          <w:rFonts w:ascii="Arial" w:hAnsi="Arial" w:cs="Arial"/>
          <w:sz w:val="20"/>
        </w:rPr>
        <w:t xml:space="preserve">Podpoříme </w:t>
      </w:r>
      <w:r w:rsidRPr="000D515F">
        <w:rPr>
          <w:rStyle w:val="normaltextrun"/>
          <w:rFonts w:ascii="Arial" w:hAnsi="Arial" w:cs="Arial"/>
          <w:b/>
          <w:bCs/>
          <w:sz w:val="20"/>
        </w:rPr>
        <w:t>nové výsledky aplikovaného výzkumu</w:t>
      </w:r>
      <w:r w:rsidRPr="000D515F">
        <w:rPr>
          <w:rStyle w:val="normaltextrun"/>
          <w:rFonts w:ascii="Arial" w:hAnsi="Arial" w:cs="Arial"/>
          <w:sz w:val="20"/>
        </w:rPr>
        <w:t xml:space="preserve">, kterých je v plánu </w:t>
      </w:r>
      <w:r w:rsidRPr="000D515F">
        <w:rPr>
          <w:rStyle w:val="normaltextrun"/>
          <w:rFonts w:ascii="Arial" w:hAnsi="Arial" w:cs="Arial"/>
          <w:b/>
          <w:bCs/>
          <w:sz w:val="20"/>
        </w:rPr>
        <w:t>přes 900</w:t>
      </w:r>
      <w:r w:rsidR="00423B18">
        <w:rPr>
          <w:rStyle w:val="normaltextrun"/>
          <w:rFonts w:ascii="Arial" w:hAnsi="Arial" w:cs="Arial"/>
          <w:sz w:val="20"/>
        </w:rPr>
        <w:t>.</w:t>
      </w:r>
    </w:p>
    <w:p w14:paraId="3D1AB3F7" w14:textId="23E6423E" w:rsidR="00423B18" w:rsidRPr="001709CD" w:rsidRDefault="000D515F" w:rsidP="00C401CA">
      <w:pPr>
        <w:pStyle w:val="paragraph"/>
        <w:numPr>
          <w:ilvl w:val="0"/>
          <w:numId w:val="32"/>
        </w:numPr>
        <w:spacing w:before="0" w:beforeAutospacing="0" w:after="360" w:afterAutospacing="0"/>
        <w:ind w:left="357" w:hanging="357"/>
        <w:jc w:val="both"/>
        <w:textAlignment w:val="baseline"/>
        <w:rPr>
          <w:rStyle w:val="normaltextrun"/>
          <w:rFonts w:ascii="Arial" w:hAnsi="Arial" w:cs="Arial"/>
          <w:sz w:val="20"/>
        </w:rPr>
      </w:pPr>
      <w:r w:rsidRPr="001709CD">
        <w:rPr>
          <w:rStyle w:val="normaltextrun"/>
          <w:rFonts w:ascii="Arial" w:hAnsi="Arial" w:cs="Arial"/>
          <w:sz w:val="20"/>
        </w:rPr>
        <w:t xml:space="preserve">Česká republika se také zaměřuje na zavádění nových nebo vylepšených produktů pro strategické řízení výzkumu a inovací, a </w:t>
      </w:r>
      <w:r w:rsidRPr="001709CD">
        <w:rPr>
          <w:rStyle w:val="normaltextrun"/>
          <w:rFonts w:ascii="Arial" w:hAnsi="Arial" w:cs="Arial"/>
          <w:b/>
          <w:bCs/>
          <w:sz w:val="20"/>
        </w:rPr>
        <w:t>plánujeme implementovat 201 takových produktů</w:t>
      </w:r>
      <w:r w:rsidR="00423B18" w:rsidRPr="001709CD">
        <w:rPr>
          <w:rStyle w:val="normaltextrun"/>
          <w:rFonts w:ascii="Arial" w:hAnsi="Arial" w:cs="Arial"/>
          <w:sz w:val="20"/>
        </w:rPr>
        <w:t>.</w:t>
      </w:r>
    </w:p>
    <w:p w14:paraId="43E4E51E" w14:textId="27B40AF3" w:rsidR="000D515F" w:rsidRPr="001709CD" w:rsidRDefault="000D515F" w:rsidP="00C401CA">
      <w:pPr>
        <w:pStyle w:val="paragraph"/>
        <w:spacing w:before="0" w:beforeAutospacing="0" w:after="600" w:afterAutospacing="0"/>
        <w:jc w:val="both"/>
        <w:textAlignment w:val="baseline"/>
        <w:rPr>
          <w:rFonts w:ascii="Arial" w:hAnsi="Arial" w:cs="Arial"/>
          <w:sz w:val="20"/>
        </w:rPr>
      </w:pPr>
      <w:r w:rsidRPr="001709CD">
        <w:rPr>
          <w:rStyle w:val="normaltextrun"/>
          <w:rFonts w:ascii="Arial" w:hAnsi="Arial" w:cs="Arial"/>
          <w:sz w:val="20"/>
        </w:rPr>
        <w:t xml:space="preserve">Naše úspěchy jsou důkazem toho, že </w:t>
      </w:r>
      <w:r w:rsidRPr="001709CD">
        <w:rPr>
          <w:rStyle w:val="normaltextrun"/>
          <w:rFonts w:ascii="Arial" w:hAnsi="Arial" w:cs="Arial"/>
          <w:b/>
          <w:bCs/>
          <w:sz w:val="20"/>
        </w:rPr>
        <w:t>dokážeme dobře čerpat a zároveň prostředky, které nám EU poskytuje, umíme efektivně a smysluplně využít</w:t>
      </w:r>
      <w:r w:rsidRPr="001709CD">
        <w:rPr>
          <w:rStyle w:val="normaltextrun"/>
          <w:rFonts w:ascii="Arial" w:hAnsi="Arial" w:cs="Arial"/>
          <w:sz w:val="20"/>
        </w:rPr>
        <w:t>. Je to výsledkem dlouhodobé a systematické práce a precizně nastavených procesů administrace fondů EU, a to jak na straně příjemců, tak na straně poskytovatelů dotací.</w:t>
      </w:r>
      <w:r w:rsidRPr="001709CD">
        <w:rPr>
          <w:rStyle w:val="eop"/>
          <w:rFonts w:ascii="Arial" w:hAnsi="Arial" w:cs="Arial"/>
          <w:sz w:val="20"/>
        </w:rPr>
        <w:t> </w:t>
      </w:r>
    </w:p>
    <w:p w14:paraId="2043C7D8" w14:textId="79AC0237" w:rsidR="0041363C" w:rsidRPr="0041363C" w:rsidRDefault="0041363C" w:rsidP="00C6544B">
      <w:pPr>
        <w:jc w:val="center"/>
        <w:rPr>
          <w:rFonts w:ascii="Arial" w:hAnsi="Arial" w:cs="Arial"/>
          <w:b/>
          <w:bCs/>
          <w:color w:val="000099"/>
          <w:sz w:val="40"/>
          <w:szCs w:val="40"/>
        </w:rPr>
      </w:pPr>
      <w:r w:rsidRPr="0041363C">
        <w:rPr>
          <w:rFonts w:ascii="Arial" w:hAnsi="Arial" w:cs="Arial"/>
          <w:b/>
          <w:bCs/>
          <w:color w:val="000099"/>
          <w:sz w:val="40"/>
          <w:szCs w:val="40"/>
        </w:rPr>
        <w:t>Příprava programového období 2028+</w:t>
      </w:r>
    </w:p>
    <w:p w14:paraId="17DFDC99" w14:textId="0F6C7D75" w:rsidR="00BD03ED" w:rsidRPr="00941712" w:rsidRDefault="00B634E0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Jedním z klíčových témat</w:t>
      </w:r>
      <w:r w:rsidR="00BD03ED">
        <w:rPr>
          <w:rFonts w:ascii="Arial" w:eastAsia="Arial" w:hAnsi="Arial" w:cs="Arial"/>
          <w:sz w:val="20"/>
          <w:szCs w:val="20"/>
        </w:rPr>
        <w:t xml:space="preserve"> </w:t>
      </w:r>
      <w:r w:rsidR="00BD03ED" w:rsidRPr="00941712">
        <w:rPr>
          <w:rFonts w:ascii="Arial" w:hAnsi="Arial" w:cs="Arial"/>
          <w:color w:val="000000"/>
          <w:sz w:val="20"/>
          <w:szCs w:val="20"/>
        </w:rPr>
        <w:t xml:space="preserve">do budoucna bude </w:t>
      </w:r>
      <w:r w:rsidR="00BD03ED" w:rsidRPr="00941712">
        <w:rPr>
          <w:rFonts w:ascii="Arial" w:hAnsi="Arial" w:cs="Arial"/>
          <w:b/>
          <w:bCs/>
          <w:color w:val="000000"/>
          <w:sz w:val="20"/>
          <w:szCs w:val="20"/>
        </w:rPr>
        <w:t>efektivní využití evropských fondů a budoucí směřování</w:t>
      </w:r>
      <w:r w:rsidR="00BD03ED" w:rsidRPr="00941712">
        <w:rPr>
          <w:rFonts w:ascii="Arial" w:hAnsi="Arial" w:cs="Arial"/>
          <w:color w:val="000000"/>
          <w:sz w:val="20"/>
          <w:szCs w:val="20"/>
        </w:rPr>
        <w:t xml:space="preserve"> </w:t>
      </w:r>
      <w:r w:rsidR="00BD03ED" w:rsidRPr="00941712">
        <w:rPr>
          <w:rFonts w:ascii="Arial" w:hAnsi="Arial" w:cs="Arial"/>
          <w:b/>
          <w:bCs/>
          <w:color w:val="000000"/>
          <w:sz w:val="20"/>
          <w:szCs w:val="20"/>
        </w:rPr>
        <w:t>politiky soudržnosti</w:t>
      </w:r>
      <w:r w:rsidR="00BD03ED" w:rsidRPr="00941712">
        <w:rPr>
          <w:rFonts w:ascii="Arial" w:hAnsi="Arial" w:cs="Arial"/>
          <w:color w:val="000000"/>
          <w:sz w:val="20"/>
          <w:szCs w:val="20"/>
        </w:rPr>
        <w:t xml:space="preserve">. Evropské fondy dnes představují </w:t>
      </w:r>
      <w:r w:rsidR="00BD03ED" w:rsidRPr="00941712">
        <w:rPr>
          <w:rFonts w:ascii="Arial" w:hAnsi="Arial" w:cs="Arial"/>
          <w:b/>
          <w:bCs/>
          <w:color w:val="000000"/>
          <w:sz w:val="20"/>
          <w:szCs w:val="20"/>
        </w:rPr>
        <w:t>40 % všech veřejných investic v</w:t>
      </w:r>
      <w:r w:rsidR="001B416F">
        <w:rPr>
          <w:rFonts w:ascii="Arial" w:hAnsi="Arial" w:cs="Arial"/>
          <w:b/>
          <w:bCs/>
          <w:color w:val="000000"/>
          <w:sz w:val="20"/>
          <w:szCs w:val="20"/>
        </w:rPr>
        <w:t> </w:t>
      </w:r>
      <w:r w:rsidR="00BD03ED" w:rsidRPr="00941712">
        <w:rPr>
          <w:rFonts w:ascii="Arial" w:hAnsi="Arial" w:cs="Arial"/>
          <w:b/>
          <w:bCs/>
          <w:color w:val="000000"/>
          <w:sz w:val="20"/>
          <w:szCs w:val="20"/>
        </w:rPr>
        <w:t>Č</w:t>
      </w:r>
      <w:r w:rsidR="001A6B95">
        <w:rPr>
          <w:rFonts w:ascii="Arial" w:hAnsi="Arial" w:cs="Arial"/>
          <w:b/>
          <w:bCs/>
          <w:color w:val="000000"/>
          <w:sz w:val="20"/>
          <w:szCs w:val="20"/>
        </w:rPr>
        <w:t>R</w:t>
      </w:r>
      <w:r w:rsidR="00BD03ED" w:rsidRPr="0094171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D03ED" w:rsidRPr="00941712">
        <w:rPr>
          <w:rFonts w:ascii="Arial" w:hAnsi="Arial" w:cs="Arial"/>
          <w:color w:val="000000"/>
          <w:sz w:val="20"/>
          <w:szCs w:val="20"/>
        </w:rPr>
        <w:t xml:space="preserve"> Jsou významným zdrojem pro rozvoj našich regionů, podporu inovací, modernizaci infrastruktury i transformaci našeho průmyslu.</w:t>
      </w:r>
    </w:p>
    <w:p w14:paraId="021EA1F8" w14:textId="6C41305F" w:rsidR="00BD03ED" w:rsidRPr="00941712" w:rsidRDefault="00BD03ED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sz w:val="20"/>
          <w:szCs w:val="20"/>
        </w:rPr>
      </w:pPr>
      <w:r w:rsidRPr="00941712">
        <w:rPr>
          <w:rFonts w:ascii="Arial" w:hAnsi="Arial" w:cs="Arial"/>
          <w:color w:val="000000"/>
          <w:sz w:val="20"/>
          <w:szCs w:val="20"/>
        </w:rPr>
        <w:t xml:space="preserve">Aktuálně máme k dispozici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="00632B71">
        <w:rPr>
          <w:rFonts w:ascii="Arial" w:hAnsi="Arial" w:cs="Arial"/>
          <w:b/>
          <w:bCs/>
          <w:color w:val="000000"/>
          <w:sz w:val="20"/>
          <w:szCs w:val="20"/>
        </w:rPr>
        <w:t>26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632B71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 miliardy Kč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v rámci politiky soudržnosti na programové období 2021–2027. V následujícím programovém období po roce 2027 ale musíme počítat s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výrazně nižší alokací prostředků,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a to nejen z důvodu růstu ČR, ale i s ohledem na vyvstávající nové evropské priority, jako je např. aktuálně rezonující téma obrany. Klíčová tak bude do budoucna výrazná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 prioritizace oblastí,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které budou z těchto zdrojů podpořeny, jakož i větší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posun od grantů k finančním nástrojům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, v nichž </w:t>
      </w:r>
      <w:r w:rsidR="00C431C5">
        <w:rPr>
          <w:rFonts w:ascii="Arial" w:hAnsi="Arial" w:cs="Arial"/>
          <w:color w:val="000000"/>
          <w:sz w:val="20"/>
          <w:szCs w:val="20"/>
        </w:rPr>
        <w:t>ČR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zatím v evropském srovnání zaostává. Jedině tak můžeme tyto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prostředky využít co nejefektivněji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a zajistíme si zdroj podpory i v následujících letech. Předpokládáme, že klíčové oblasti budou zelená transformace, inovační potenciál a vzdělávání, konektivita a řešení otázek souvisejících s demografickým vývojem.</w:t>
      </w:r>
    </w:p>
    <w:p w14:paraId="6C384609" w14:textId="29404EE2" w:rsidR="00BD03ED" w:rsidRDefault="00BD03ED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41712">
        <w:rPr>
          <w:rFonts w:ascii="Arial" w:hAnsi="Arial" w:cs="Arial"/>
          <w:color w:val="000000"/>
          <w:sz w:val="20"/>
          <w:szCs w:val="20"/>
        </w:rPr>
        <w:t>Disku</w:t>
      </w:r>
      <w:r w:rsidR="000B1A19">
        <w:rPr>
          <w:rFonts w:ascii="Arial" w:hAnsi="Arial" w:cs="Arial"/>
          <w:color w:val="000000"/>
          <w:sz w:val="20"/>
          <w:szCs w:val="20"/>
        </w:rPr>
        <w:t>s</w:t>
      </w:r>
      <w:r w:rsidRPr="00941712">
        <w:rPr>
          <w:rFonts w:ascii="Arial" w:hAnsi="Arial" w:cs="Arial"/>
          <w:color w:val="000000"/>
          <w:sz w:val="20"/>
          <w:szCs w:val="20"/>
        </w:rPr>
        <w:t>e o budoucí politice soudržnosti probíhají na národní i evropské půdě. MMR vystupuje aktivně s</w:t>
      </w:r>
      <w:r w:rsidR="004242C0">
        <w:rPr>
          <w:rFonts w:ascii="Arial" w:hAnsi="Arial" w:cs="Arial"/>
          <w:color w:val="000000"/>
          <w:sz w:val="20"/>
          <w:szCs w:val="20"/>
        </w:rPr>
        <w:t> 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cílem zachování silné investiční politiky do budoucna</w:t>
      </w:r>
      <w:r w:rsidRPr="00941712">
        <w:rPr>
          <w:rFonts w:ascii="Arial" w:hAnsi="Arial" w:cs="Arial"/>
          <w:color w:val="000000"/>
          <w:sz w:val="20"/>
          <w:szCs w:val="20"/>
        </w:rPr>
        <w:t>, kdy</w:t>
      </w:r>
      <w:r w:rsidR="000873C2">
        <w:rPr>
          <w:rFonts w:ascii="Arial" w:hAnsi="Arial" w:cs="Arial"/>
          <w:color w:val="000000"/>
          <w:sz w:val="20"/>
          <w:szCs w:val="20"/>
        </w:rPr>
        <w:t xml:space="preserve"> je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její role značně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oslabována novými prioritami Evropské komise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(konkurenceschopnost, bezpečnost a obrana, demografie a bydlení). Z</w:t>
      </w:r>
      <w:r w:rsidR="000873C2">
        <w:rPr>
          <w:rFonts w:ascii="Arial" w:hAnsi="Arial" w:cs="Arial"/>
          <w:color w:val="000000"/>
          <w:sz w:val="20"/>
          <w:szCs w:val="20"/>
        </w:rPr>
        <w:t> </w:t>
      </w:r>
      <w:r w:rsidRPr="00941712">
        <w:rPr>
          <w:rFonts w:ascii="Arial" w:hAnsi="Arial" w:cs="Arial"/>
          <w:color w:val="000000"/>
          <w:sz w:val="20"/>
          <w:szCs w:val="20"/>
        </w:rPr>
        <w:t>oficiálních dokumentů zpracovaných na evropské úrovni lze vyvodit, jakými směry se s největší pravděpodobností bude vývoj politiky soudržnosti do budoucna ubírat (výdaje na nové priority v rámci budoucího víceletého finančního rámce, snížení rozpočtu pro politiku soudržnosti, tlak na reformy a</w:t>
      </w:r>
      <w:r w:rsidR="00827B51">
        <w:rPr>
          <w:rFonts w:ascii="Arial" w:hAnsi="Arial" w:cs="Arial"/>
          <w:color w:val="000000"/>
          <w:sz w:val="20"/>
          <w:szCs w:val="20"/>
        </w:rPr>
        <w:t> 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výsledkově orientovaný přístup).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Dle názoru ČR by politika soudržnosti měla být nadále politikou pro všechny regiony EU, podporovat investice a budování institucionálních kapacit, posilovat princip partnerství a sdíleného řízení.</w:t>
      </w:r>
    </w:p>
    <w:p w14:paraId="45E3C826" w14:textId="77777777" w:rsidR="00BD03ED" w:rsidRPr="00941712" w:rsidRDefault="00BD03ED" w:rsidP="00284381">
      <w:pPr>
        <w:spacing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941712">
        <w:rPr>
          <w:rFonts w:ascii="Arial" w:hAnsi="Arial" w:cs="Arial"/>
          <w:color w:val="000000"/>
          <w:sz w:val="20"/>
          <w:szCs w:val="20"/>
        </w:rPr>
        <w:t xml:space="preserve">Evropská komise pod vedením Ursuly von der Leyen představila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hlavní priority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pro období 2024–2029. Zaměřuje se na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posílení konkurenceschopnosti 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Evropy prostřednictvím investic do čistých technologií, </w:t>
      </w:r>
      <w:r w:rsidRPr="00284381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nížení cen energií a podpory digitální ekonomiky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. Klíčovým tématem je také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obrana a bezpečnost</w:t>
      </w:r>
      <w:r w:rsidRPr="00941712">
        <w:rPr>
          <w:rFonts w:ascii="Arial" w:hAnsi="Arial" w:cs="Arial"/>
          <w:color w:val="000000"/>
          <w:sz w:val="20"/>
          <w:szCs w:val="20"/>
        </w:rPr>
        <w:t>, kde je cílem vybudování skutečné Evropské obranné unie s vyššími investicemi do tohoto sektoru. Další důležitou oblastí je</w:t>
      </w:r>
      <w:r w:rsidRPr="00284381">
        <w:rPr>
          <w:rFonts w:ascii="Arial" w:hAnsi="Arial" w:cs="Arial"/>
          <w:b/>
          <w:bCs/>
          <w:color w:val="000000"/>
          <w:sz w:val="20"/>
          <w:szCs w:val="20"/>
        </w:rPr>
        <w:t xml:space="preserve"> ř</w:t>
      </w:r>
      <w:r w:rsidRPr="00125E50">
        <w:rPr>
          <w:rFonts w:ascii="Arial" w:hAnsi="Arial" w:cs="Arial"/>
          <w:b/>
          <w:bCs/>
          <w:color w:val="000000"/>
          <w:sz w:val="20"/>
          <w:szCs w:val="20"/>
        </w:rPr>
        <w:t>ešení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 krize dostupného bydlení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, spravedlivější rozdělení </w:t>
      </w:r>
      <w:r w:rsidRPr="00941712">
        <w:rPr>
          <w:rFonts w:ascii="Arial" w:hAnsi="Arial" w:cs="Arial"/>
          <w:color w:val="000000"/>
          <w:sz w:val="20"/>
          <w:szCs w:val="20"/>
        </w:rPr>
        <w:lastRenderedPageBreak/>
        <w:t xml:space="preserve">příjmů a podpora kvalitní zaměstnanosti. V oblasti udržitelné kvality života se Komise soustředí na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opatření proti klimatickým změnám, ochranu vodních zdrojů a podporu odolného zemědělství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. Posílení demokracie a boj proti korupci jsou rovněž klíčové, stejně jako pokračující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podpora Ukrajiny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a plánované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rozšiřování Evropské unie </w:t>
      </w:r>
      <w:r w:rsidRPr="00941712">
        <w:rPr>
          <w:rFonts w:ascii="Arial" w:hAnsi="Arial" w:cs="Arial"/>
          <w:color w:val="000000"/>
          <w:sz w:val="20"/>
          <w:szCs w:val="20"/>
        </w:rPr>
        <w:t>na základě pokroku jednotlivých kandidátských zemí.</w:t>
      </w:r>
    </w:p>
    <w:p w14:paraId="22BA1399" w14:textId="231F0FBE" w:rsidR="00660AEB" w:rsidRPr="00087B93" w:rsidRDefault="00660AEB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7B93">
        <w:rPr>
          <w:rFonts w:ascii="Arial" w:hAnsi="Arial" w:cs="Arial"/>
          <w:color w:val="000000"/>
          <w:sz w:val="20"/>
          <w:szCs w:val="20"/>
        </w:rPr>
        <w:t xml:space="preserve">Na počátku roku </w:t>
      </w:r>
      <w:r w:rsidR="00BE633F" w:rsidRPr="00087B93">
        <w:rPr>
          <w:rFonts w:ascii="Arial" w:hAnsi="Arial" w:cs="Arial"/>
          <w:color w:val="000000"/>
          <w:sz w:val="20"/>
          <w:szCs w:val="20"/>
        </w:rPr>
        <w:t xml:space="preserve">2025 </w:t>
      </w:r>
      <w:r w:rsidR="00BC6925" w:rsidRPr="00087B93">
        <w:rPr>
          <w:rFonts w:ascii="Arial" w:hAnsi="Arial" w:cs="Arial"/>
          <w:color w:val="000000"/>
          <w:sz w:val="20"/>
          <w:szCs w:val="20"/>
        </w:rPr>
        <w:t xml:space="preserve">EK </w:t>
      </w:r>
      <w:r w:rsidR="00BD0AC9" w:rsidRPr="00087B93">
        <w:rPr>
          <w:rFonts w:ascii="Arial" w:hAnsi="Arial" w:cs="Arial"/>
          <w:color w:val="000000"/>
          <w:sz w:val="20"/>
          <w:szCs w:val="20"/>
        </w:rPr>
        <w:t>zveřejnila</w:t>
      </w:r>
      <w:r w:rsidR="00BD0AC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D2FBC">
        <w:rPr>
          <w:rFonts w:ascii="Arial" w:hAnsi="Arial" w:cs="Arial"/>
          <w:b/>
          <w:i/>
          <w:color w:val="000000"/>
          <w:sz w:val="20"/>
          <w:szCs w:val="20"/>
        </w:rPr>
        <w:t>Kompas konkurenceschopnosti</w:t>
      </w:r>
      <w:r w:rsidR="00910563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660AEB">
        <w:rPr>
          <w:rFonts w:ascii="Arial" w:hAnsi="Arial" w:cs="Arial"/>
          <w:b/>
          <w:bCs/>
          <w:color w:val="000000"/>
          <w:sz w:val="20"/>
          <w:szCs w:val="20"/>
        </w:rPr>
        <w:t xml:space="preserve">strategický rámec pro posílení konkurenceschopnosti EU </w:t>
      </w:r>
      <w:r w:rsidRPr="00087B93">
        <w:rPr>
          <w:rFonts w:ascii="Arial" w:hAnsi="Arial" w:cs="Arial"/>
          <w:color w:val="000000"/>
          <w:sz w:val="20"/>
          <w:szCs w:val="20"/>
        </w:rPr>
        <w:t>odstraňováním strukturálních nedostatků prostřednictvím inovací, dekarbonizace a snížení</w:t>
      </w:r>
      <w:r w:rsidR="00C6259B">
        <w:rPr>
          <w:rFonts w:ascii="Arial" w:hAnsi="Arial" w:cs="Arial"/>
          <w:color w:val="000000"/>
          <w:sz w:val="20"/>
          <w:szCs w:val="20"/>
        </w:rPr>
        <w:t>m</w:t>
      </w:r>
      <w:r w:rsidRPr="00087B93">
        <w:rPr>
          <w:rFonts w:ascii="Arial" w:hAnsi="Arial" w:cs="Arial"/>
          <w:color w:val="000000"/>
          <w:sz w:val="20"/>
          <w:szCs w:val="20"/>
        </w:rPr>
        <w:t xml:space="preserve"> závislosti na třetích zemích</w:t>
      </w:r>
      <w:r w:rsidR="001617E2">
        <w:rPr>
          <w:rFonts w:ascii="Arial" w:hAnsi="Arial" w:cs="Arial"/>
          <w:color w:val="000000"/>
          <w:sz w:val="20"/>
          <w:szCs w:val="20"/>
        </w:rPr>
        <w:t xml:space="preserve">. </w:t>
      </w:r>
      <w:r w:rsidR="00C25A47">
        <w:rPr>
          <w:rFonts w:ascii="Arial" w:hAnsi="Arial" w:cs="Arial"/>
          <w:color w:val="000000"/>
          <w:sz w:val="20"/>
          <w:szCs w:val="20"/>
        </w:rPr>
        <w:t>V únoru následovala</w:t>
      </w:r>
      <w:r w:rsidRPr="00087B93">
        <w:rPr>
          <w:rFonts w:ascii="Arial" w:hAnsi="Arial" w:cs="Arial"/>
          <w:color w:val="000000"/>
          <w:sz w:val="20"/>
          <w:szCs w:val="20"/>
        </w:rPr>
        <w:t xml:space="preserve"> </w:t>
      </w:r>
      <w:r w:rsidRPr="00BD2FBC">
        <w:rPr>
          <w:rFonts w:ascii="Arial" w:hAnsi="Arial" w:cs="Arial"/>
          <w:b/>
          <w:i/>
          <w:color w:val="000000"/>
          <w:sz w:val="20"/>
          <w:szCs w:val="20"/>
        </w:rPr>
        <w:t>Dohoda o čistém průmyslu</w:t>
      </w:r>
      <w:r w:rsidR="00C25A47">
        <w:rPr>
          <w:rFonts w:ascii="Arial" w:hAnsi="Arial" w:cs="Arial"/>
          <w:color w:val="000000"/>
          <w:sz w:val="20"/>
          <w:szCs w:val="20"/>
        </w:rPr>
        <w:t xml:space="preserve">, která se </w:t>
      </w:r>
      <w:r w:rsidRPr="00087B93">
        <w:rPr>
          <w:rFonts w:ascii="Arial" w:hAnsi="Arial" w:cs="Arial"/>
          <w:color w:val="000000"/>
          <w:sz w:val="20"/>
          <w:szCs w:val="20"/>
        </w:rPr>
        <w:t>zaměřuje na transformaci energeticky náročných odvětví k udržitelnému růstu a</w:t>
      </w:r>
      <w:r w:rsidR="00517DE8">
        <w:rPr>
          <w:rFonts w:ascii="Arial" w:hAnsi="Arial" w:cs="Arial"/>
          <w:color w:val="000000"/>
          <w:sz w:val="20"/>
          <w:szCs w:val="20"/>
        </w:rPr>
        <w:t> </w:t>
      </w:r>
      <w:r w:rsidRPr="00087B93">
        <w:rPr>
          <w:rFonts w:ascii="Arial" w:hAnsi="Arial" w:cs="Arial"/>
          <w:color w:val="000000"/>
          <w:sz w:val="20"/>
          <w:szCs w:val="20"/>
        </w:rPr>
        <w:t>odolnosti průmyslu.</w:t>
      </w:r>
    </w:p>
    <w:p w14:paraId="057B1618" w14:textId="61774E3F" w:rsidR="004C16BE" w:rsidRPr="00941712" w:rsidRDefault="004C16BE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41712">
        <w:rPr>
          <w:rFonts w:ascii="Arial" w:hAnsi="Arial" w:cs="Arial"/>
          <w:color w:val="000000"/>
          <w:sz w:val="20"/>
          <w:szCs w:val="20"/>
        </w:rPr>
        <w:t>V únoru tohoto roku vydala E</w:t>
      </w:r>
      <w:r>
        <w:rPr>
          <w:rFonts w:ascii="Arial" w:hAnsi="Arial" w:cs="Arial"/>
          <w:color w:val="000000"/>
          <w:sz w:val="20"/>
          <w:szCs w:val="20"/>
        </w:rPr>
        <w:t>K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také své </w:t>
      </w:r>
      <w:r w:rsidRPr="00941712">
        <w:rPr>
          <w:rFonts w:ascii="Arial" w:hAnsi="Arial" w:cs="Arial"/>
          <w:color w:val="000000"/>
          <w:sz w:val="20"/>
          <w:szCs w:val="20"/>
        </w:rPr>
        <w:t>sdělení s názvem „</w:t>
      </w:r>
      <w:r w:rsidRPr="00E72B0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Cesta k budoucímu víceletému finančnímu rámci</w:t>
      </w:r>
      <w:r w:rsidRPr="00941712">
        <w:rPr>
          <w:rFonts w:ascii="Arial" w:hAnsi="Arial" w:cs="Arial"/>
          <w:i/>
          <w:iCs/>
          <w:color w:val="000000"/>
          <w:sz w:val="20"/>
          <w:szCs w:val="20"/>
        </w:rPr>
        <w:t>“,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které se věnuje zhodnocení současného víceletého finančního rámce a současně zdůrazňuje hlavní politické a rozpočtové výzvy. Materiál navrhuje základní strukturu budoucího víceletého finančního rámce, která se skládá ze tří pilířů: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národní plán pro každý členský stát</w:t>
      </w:r>
      <w:r w:rsidR="001C3928">
        <w:rPr>
          <w:rFonts w:ascii="Arial" w:hAnsi="Arial" w:cs="Arial"/>
          <w:color w:val="000000"/>
          <w:sz w:val="20"/>
          <w:szCs w:val="20"/>
        </w:rPr>
        <w:t>,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fond pro konkurenceschopnost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a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vnější činnost EU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. Vyjednávání o budoucím víceletém finančním rámci aktuálně vrcholí, jeho podoba by měla být známa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v polovině tohoto roku. </w:t>
      </w:r>
      <w:r w:rsidRPr="00941712">
        <w:rPr>
          <w:rFonts w:ascii="Arial" w:hAnsi="Arial" w:cs="Arial"/>
          <w:color w:val="000000"/>
          <w:sz w:val="20"/>
          <w:szCs w:val="20"/>
        </w:rPr>
        <w:t>Již nyní</w:t>
      </w:r>
      <w:r w:rsidR="00BD03ED" w:rsidRPr="00941712">
        <w:rPr>
          <w:rFonts w:ascii="Arial" w:hAnsi="Arial" w:cs="Arial"/>
          <w:color w:val="000000"/>
          <w:sz w:val="20"/>
          <w:szCs w:val="20"/>
        </w:rPr>
        <w:t xml:space="preserve"> je </w:t>
      </w:r>
      <w:r w:rsidRPr="00941712">
        <w:rPr>
          <w:rFonts w:ascii="Arial" w:hAnsi="Arial" w:cs="Arial"/>
          <w:color w:val="000000"/>
          <w:sz w:val="20"/>
          <w:szCs w:val="20"/>
        </w:rPr>
        <w:t>ale jasné, že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členské státy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nejsou nakloněny navyšování příspěvků </w:t>
      </w:r>
      <w:r w:rsidRPr="00941712">
        <w:rPr>
          <w:rFonts w:ascii="Arial" w:hAnsi="Arial" w:cs="Arial"/>
          <w:color w:val="000000"/>
          <w:sz w:val="20"/>
          <w:szCs w:val="20"/>
        </w:rPr>
        <w:t>do rozpočtu</w:t>
      </w:r>
      <w:r w:rsidR="001646F0">
        <w:rPr>
          <w:rFonts w:ascii="Arial" w:hAnsi="Arial" w:cs="Arial"/>
          <w:color w:val="000000"/>
          <w:sz w:val="20"/>
          <w:szCs w:val="20"/>
        </w:rPr>
        <w:t xml:space="preserve"> EU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, a tudíž bude docházet ke značné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prioritizaci klíčových oblastí, </w:t>
      </w:r>
      <w:r w:rsidRPr="00941712">
        <w:rPr>
          <w:rFonts w:ascii="Arial" w:hAnsi="Arial" w:cs="Arial"/>
          <w:color w:val="000000"/>
          <w:sz w:val="20"/>
          <w:szCs w:val="20"/>
        </w:rPr>
        <w:t>kterou zcela jistě poznáme i v oblasti politiky soudržnosti. </w:t>
      </w:r>
    </w:p>
    <w:p w14:paraId="7426910F" w14:textId="120388C4" w:rsidR="00BD03ED" w:rsidRDefault="00BD03ED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Aktuálně nejvíce rezonující téma obrany </w:t>
      </w:r>
      <w:r w:rsidRPr="00941712">
        <w:rPr>
          <w:rFonts w:ascii="Arial" w:hAnsi="Arial" w:cs="Arial"/>
          <w:color w:val="000000"/>
          <w:sz w:val="20"/>
          <w:szCs w:val="20"/>
        </w:rPr>
        <w:t>je zmíněno v dopise předsedkyně Ursuly von den Leyen a</w:t>
      </w:r>
      <w:r w:rsidR="00595B11">
        <w:rPr>
          <w:rFonts w:ascii="Arial" w:hAnsi="Arial" w:cs="Arial"/>
          <w:color w:val="000000"/>
          <w:sz w:val="20"/>
          <w:szCs w:val="20"/>
        </w:rPr>
        <w:t> </w:t>
      </w:r>
      <w:r w:rsidRPr="00941712">
        <w:rPr>
          <w:rFonts w:ascii="Arial" w:hAnsi="Arial" w:cs="Arial"/>
          <w:color w:val="000000"/>
          <w:sz w:val="20"/>
          <w:szCs w:val="20"/>
        </w:rPr>
        <w:t>současně i závěrech EUCO. Komisařka v dopise zmiňuje nový plán „</w:t>
      </w:r>
      <w:r w:rsidRPr="00BD2FBC">
        <w:rPr>
          <w:rFonts w:ascii="Arial" w:hAnsi="Arial" w:cs="Arial"/>
          <w:b/>
          <w:i/>
          <w:color w:val="000000"/>
          <w:sz w:val="20"/>
          <w:szCs w:val="20"/>
        </w:rPr>
        <w:t>ReArm Europe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“. Dne 6. března 2025 se konalo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mimořádné zasedání Evropské rady</w:t>
      </w:r>
      <w:r w:rsidRPr="00941712">
        <w:rPr>
          <w:rFonts w:ascii="Arial" w:hAnsi="Arial" w:cs="Arial"/>
          <w:color w:val="000000"/>
          <w:sz w:val="20"/>
          <w:szCs w:val="20"/>
        </w:rPr>
        <w:t>, kde lídři Evropské unie jednali o pokračující podpoře Ukrajiny a o posílení evropské obrany.</w:t>
      </w:r>
      <w:r w:rsidR="009874A6">
        <w:rPr>
          <w:rFonts w:ascii="Arial" w:hAnsi="Arial" w:cs="Arial"/>
          <w:color w:val="000000"/>
          <w:sz w:val="20"/>
          <w:szCs w:val="20"/>
        </w:rPr>
        <w:t xml:space="preserve"> Následovalo zveřejnění tzv. </w:t>
      </w:r>
      <w:r w:rsidR="009874A6" w:rsidRPr="00BD2FBC">
        <w:rPr>
          <w:rFonts w:ascii="Arial" w:hAnsi="Arial" w:cs="Arial"/>
          <w:b/>
          <w:i/>
          <w:color w:val="000000"/>
          <w:sz w:val="20"/>
          <w:szCs w:val="20"/>
        </w:rPr>
        <w:t>Bílé knihy o budoucnosti Evropské obrany</w:t>
      </w:r>
      <w:r w:rsidR="009874A6">
        <w:rPr>
          <w:rFonts w:ascii="Arial" w:hAnsi="Arial" w:cs="Arial"/>
          <w:color w:val="000000"/>
          <w:sz w:val="20"/>
          <w:szCs w:val="20"/>
        </w:rPr>
        <w:t>, která</w:t>
      </w:r>
      <w:r w:rsidR="009874A6" w:rsidRPr="009874A6">
        <w:rPr>
          <w:rFonts w:ascii="Arial" w:hAnsi="Arial" w:cs="Arial"/>
          <w:color w:val="000000"/>
          <w:sz w:val="20"/>
          <w:szCs w:val="20"/>
        </w:rPr>
        <w:t xml:space="preserve"> </w:t>
      </w:r>
      <w:r w:rsidR="009874A6" w:rsidRPr="00E72B01">
        <w:rPr>
          <w:rFonts w:ascii="Arial" w:hAnsi="Arial" w:cs="Arial"/>
          <w:b/>
          <w:bCs/>
          <w:color w:val="000000"/>
          <w:sz w:val="20"/>
          <w:szCs w:val="20"/>
        </w:rPr>
        <w:t>definuje investiční potřeby a navrhuje opatření k posílení evropského obranného průmyslu</w:t>
      </w:r>
      <w:r w:rsidR="009874A6" w:rsidRPr="009874A6">
        <w:rPr>
          <w:rFonts w:ascii="Arial" w:hAnsi="Arial" w:cs="Arial"/>
          <w:color w:val="000000"/>
          <w:sz w:val="20"/>
          <w:szCs w:val="20"/>
        </w:rPr>
        <w:t>, včetně zvýšené vojenské pomoci Ukrajině, prohloubení obranného trhu a</w:t>
      </w:r>
      <w:r w:rsidR="001217CF">
        <w:rPr>
          <w:rFonts w:ascii="Arial" w:hAnsi="Arial" w:cs="Arial"/>
          <w:color w:val="000000"/>
          <w:sz w:val="20"/>
          <w:szCs w:val="20"/>
        </w:rPr>
        <w:t> </w:t>
      </w:r>
      <w:r w:rsidR="009874A6" w:rsidRPr="009874A6">
        <w:rPr>
          <w:rFonts w:ascii="Arial" w:hAnsi="Arial" w:cs="Arial"/>
          <w:color w:val="000000"/>
          <w:sz w:val="20"/>
          <w:szCs w:val="20"/>
        </w:rPr>
        <w:t>inovací v oblasti umělé inteligence a kvantových technologií. Klade důraz na připravenost EU prostřednictvím lepší vojenské mobility, strategických zásob a posílení vnějších hranic, zároveň usiluje o užší spolupráci s partnerskými zeměmi.</w:t>
      </w:r>
    </w:p>
    <w:p w14:paraId="1A102B64" w14:textId="77777777" w:rsidR="009F1337" w:rsidRPr="00941712" w:rsidRDefault="009F1337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41712">
        <w:rPr>
          <w:rFonts w:ascii="Arial" w:hAnsi="Arial" w:cs="Arial"/>
          <w:color w:val="000000"/>
          <w:sz w:val="20"/>
          <w:szCs w:val="20"/>
        </w:rPr>
        <w:t xml:space="preserve">Celá EU aktuálně čelí mnohým výzvám a krizím, které budou vyžadovat strukturální změny.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Provázání reforem se strategickými investicemi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v relevantních oblastech tak může přispět ke stimulaci udržitelného růstu. Současně bude věnována velká pozornost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regionům a jejich kondici. 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Na národní úrovni tak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bude nutné ve spolupráci s územními partnery zpracovat kvalitní podklady, které budou identifikovat potřeby a příležitosti regionálního rozvoje.</w:t>
      </w:r>
    </w:p>
    <w:p w14:paraId="6F7ED6BA" w14:textId="2CA288B1" w:rsidR="008C5CA7" w:rsidRPr="00941712" w:rsidRDefault="008C5CA7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B1A19">
        <w:rPr>
          <w:rFonts w:ascii="Arial" w:hAnsi="Arial" w:cs="Arial"/>
          <w:b/>
          <w:bCs/>
          <w:color w:val="000000"/>
          <w:sz w:val="20"/>
          <w:szCs w:val="20"/>
        </w:rPr>
        <w:t>Na jednání Rady pro obecné záležitosti ve složení ministrů odpovědných za politiku soudržnosti, byly dne 28. března 2025 schváleny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závěry Rady o soudržnosti a politice soudržnosti po roce 2027</w:t>
      </w:r>
      <w:r w:rsidRPr="00941712">
        <w:rPr>
          <w:rFonts w:ascii="Arial" w:hAnsi="Arial" w:cs="Arial"/>
          <w:color w:val="000000"/>
          <w:sz w:val="20"/>
          <w:szCs w:val="20"/>
        </w:rPr>
        <w:t>. Cílem závěrů je připravit za Radu vstup před zveřejněním návrhu víceletého finančního rámce a</w:t>
      </w:r>
      <w:r w:rsidR="00702D57">
        <w:rPr>
          <w:rFonts w:ascii="Arial" w:hAnsi="Arial" w:cs="Arial"/>
          <w:color w:val="000000"/>
          <w:sz w:val="20"/>
          <w:szCs w:val="20"/>
        </w:rPr>
        <w:t> 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kohezní legislativy.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Za ČR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jsme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ve vyjednávání prosa</w:t>
      </w:r>
      <w:r>
        <w:rPr>
          <w:rFonts w:ascii="Arial" w:hAnsi="Arial" w:cs="Arial"/>
          <w:b/>
          <w:bCs/>
          <w:color w:val="000000"/>
          <w:sz w:val="20"/>
          <w:szCs w:val="20"/>
        </w:rPr>
        <w:t>dili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, aby politika soudržnosti nebyla vnímána jako krizový nástroj, aby si zachovala dlouhodobou stabilitu a efektivitu. Reformy by měly být propojovány s investicemi pouze tam, kde je to relevantní a přínosné.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Podpo</w:t>
      </w:r>
      <w:r>
        <w:rPr>
          <w:rFonts w:ascii="Arial" w:hAnsi="Arial" w:cs="Arial"/>
          <w:color w:val="000000"/>
          <w:sz w:val="20"/>
          <w:szCs w:val="20"/>
        </w:rPr>
        <w:t>rujeme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zaměření na měření pokroku při dosahování výsledků namísto sledování tempa čerpání prostředků.</w:t>
      </w:r>
    </w:p>
    <w:p w14:paraId="2489F4AA" w14:textId="57ECC01F" w:rsidR="007B61D2" w:rsidRDefault="00BD03ED" w:rsidP="00284381">
      <w:pPr>
        <w:pStyle w:val="Normlnweb"/>
        <w:spacing w:before="0" w:beforeAutospacing="0" w:after="24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941712">
        <w:rPr>
          <w:rFonts w:ascii="Arial" w:hAnsi="Arial" w:cs="Arial"/>
          <w:color w:val="000000"/>
          <w:sz w:val="20"/>
          <w:szCs w:val="20"/>
        </w:rPr>
        <w:t xml:space="preserve">Je patrné, že rok 2025 bude pro budoucí politiku soudržnosti klíčový.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MMR je proto velmi aktivní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jak na národní, tak i evropské úrovni. </w:t>
      </w:r>
      <w:r w:rsidR="00B96C6A">
        <w:rPr>
          <w:rFonts w:ascii="Arial" w:hAnsi="Arial" w:cs="Arial"/>
          <w:color w:val="000000"/>
          <w:sz w:val="20"/>
          <w:szCs w:val="20"/>
        </w:rPr>
        <w:t>Ve d</w:t>
      </w:r>
      <w:r w:rsidR="00AC187E">
        <w:rPr>
          <w:rFonts w:ascii="Arial" w:hAnsi="Arial" w:cs="Arial"/>
          <w:color w:val="000000"/>
          <w:sz w:val="20"/>
          <w:szCs w:val="20"/>
        </w:rPr>
        <w:t>ne</w:t>
      </w:r>
      <w:r w:rsidR="00B96C6A">
        <w:rPr>
          <w:rFonts w:ascii="Arial" w:hAnsi="Arial" w:cs="Arial"/>
          <w:color w:val="000000"/>
          <w:sz w:val="20"/>
          <w:szCs w:val="20"/>
        </w:rPr>
        <w:t>ch</w:t>
      </w:r>
      <w:r w:rsidR="00AC187E" w:rsidRPr="00941712">
        <w:rPr>
          <w:rFonts w:ascii="Arial" w:hAnsi="Arial" w:cs="Arial"/>
          <w:color w:val="000000"/>
          <w:sz w:val="20"/>
          <w:szCs w:val="20"/>
        </w:rPr>
        <w:t xml:space="preserve"> </w:t>
      </w:r>
      <w:r w:rsidR="00AC187E" w:rsidRPr="00E844BD">
        <w:rPr>
          <w:rFonts w:ascii="Arial" w:hAnsi="Arial" w:cs="Arial"/>
          <w:b/>
          <w:bCs/>
          <w:color w:val="000000"/>
          <w:sz w:val="20"/>
          <w:szCs w:val="20"/>
        </w:rPr>
        <w:t>17.</w:t>
      </w:r>
      <w:r w:rsidR="005A4685" w:rsidRPr="00E844BD">
        <w:rPr>
          <w:rFonts w:ascii="Arial" w:hAnsi="Arial" w:cs="Arial"/>
          <w:b/>
          <w:bCs/>
          <w:color w:val="000000"/>
          <w:sz w:val="20"/>
          <w:szCs w:val="20"/>
        </w:rPr>
        <w:t xml:space="preserve">-18. </w:t>
      </w:r>
      <w:r w:rsidRPr="00E844BD">
        <w:rPr>
          <w:rFonts w:ascii="Arial" w:hAnsi="Arial" w:cs="Arial"/>
          <w:b/>
          <w:bCs/>
          <w:color w:val="000000"/>
          <w:sz w:val="20"/>
          <w:szCs w:val="20"/>
        </w:rPr>
        <w:t>březn</w:t>
      </w:r>
      <w:r w:rsidR="005A4685" w:rsidRPr="00E844BD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Pr="00E844B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E542C">
        <w:rPr>
          <w:rFonts w:ascii="Arial" w:hAnsi="Arial" w:cs="Arial"/>
          <w:b/>
          <w:bCs/>
          <w:color w:val="000000"/>
          <w:sz w:val="20"/>
          <w:szCs w:val="20"/>
        </w:rPr>
        <w:t xml:space="preserve">2025 </w:t>
      </w:r>
      <w:r w:rsidRPr="00E844BD">
        <w:rPr>
          <w:rFonts w:ascii="Arial" w:hAnsi="Arial" w:cs="Arial"/>
          <w:b/>
          <w:bCs/>
          <w:color w:val="000000"/>
          <w:sz w:val="20"/>
          <w:szCs w:val="20"/>
        </w:rPr>
        <w:t>proběh</w:t>
      </w:r>
      <w:r w:rsidR="00D35330" w:rsidRPr="00E844BD">
        <w:rPr>
          <w:rFonts w:ascii="Arial" w:hAnsi="Arial" w:cs="Arial"/>
          <w:b/>
          <w:bCs/>
          <w:color w:val="000000"/>
          <w:sz w:val="20"/>
          <w:szCs w:val="20"/>
        </w:rPr>
        <w:t>lo</w:t>
      </w:r>
      <w:r w:rsidRPr="00E844B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F4DE2" w:rsidRPr="00E844BD">
        <w:rPr>
          <w:rFonts w:ascii="Arial" w:hAnsi="Arial" w:cs="Arial"/>
          <w:b/>
          <w:bCs/>
          <w:color w:val="000000"/>
          <w:sz w:val="20"/>
          <w:szCs w:val="20"/>
        </w:rPr>
        <w:t xml:space="preserve">setkání se </w:t>
      </w:r>
      <w:r w:rsidR="005A4685" w:rsidRPr="00E844BD">
        <w:rPr>
          <w:rFonts w:ascii="Arial" w:hAnsi="Arial" w:cs="Arial"/>
          <w:b/>
          <w:bCs/>
          <w:color w:val="000000"/>
          <w:sz w:val="20"/>
          <w:szCs w:val="20"/>
        </w:rPr>
        <w:t>zástupci tzv. spořivých členských států</w:t>
      </w:r>
      <w:r w:rsidR="0034464D" w:rsidRPr="00E844BD">
        <w:rPr>
          <w:rFonts w:ascii="Arial" w:hAnsi="Arial" w:cs="Arial"/>
          <w:b/>
          <w:bCs/>
          <w:color w:val="000000"/>
          <w:sz w:val="20"/>
          <w:szCs w:val="20"/>
        </w:rPr>
        <w:t xml:space="preserve"> a dalších</w:t>
      </w:r>
      <w:r w:rsidR="001F63D3" w:rsidRPr="00E844B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A1A39" w:rsidRPr="00E844BD">
        <w:rPr>
          <w:rFonts w:ascii="Arial" w:hAnsi="Arial" w:cs="Arial"/>
          <w:b/>
          <w:bCs/>
          <w:color w:val="000000"/>
          <w:sz w:val="20"/>
          <w:szCs w:val="20"/>
        </w:rPr>
        <w:t>čistých plátců</w:t>
      </w:r>
      <w:r w:rsidR="00C00D30">
        <w:rPr>
          <w:rFonts w:ascii="Arial" w:hAnsi="Arial" w:cs="Arial"/>
          <w:color w:val="000000"/>
          <w:sz w:val="20"/>
          <w:szCs w:val="20"/>
        </w:rPr>
        <w:t>, tedy Rakouska, Dánska, Š</w:t>
      </w:r>
      <w:r w:rsidR="00290214">
        <w:rPr>
          <w:rFonts w:ascii="Arial" w:hAnsi="Arial" w:cs="Arial"/>
          <w:color w:val="000000"/>
          <w:sz w:val="20"/>
          <w:szCs w:val="20"/>
        </w:rPr>
        <w:t>védska</w:t>
      </w:r>
      <w:r w:rsidR="00E844BD">
        <w:rPr>
          <w:rFonts w:ascii="Arial" w:hAnsi="Arial" w:cs="Arial"/>
          <w:color w:val="000000"/>
          <w:sz w:val="20"/>
          <w:szCs w:val="20"/>
        </w:rPr>
        <w:t xml:space="preserve">, </w:t>
      </w:r>
      <w:r w:rsidR="00290214">
        <w:rPr>
          <w:rFonts w:ascii="Arial" w:hAnsi="Arial" w:cs="Arial"/>
          <w:color w:val="000000"/>
          <w:sz w:val="20"/>
          <w:szCs w:val="20"/>
        </w:rPr>
        <w:t>Nizozemí</w:t>
      </w:r>
      <w:r w:rsidR="00E844BD">
        <w:rPr>
          <w:rFonts w:ascii="Arial" w:hAnsi="Arial" w:cs="Arial"/>
          <w:color w:val="000000"/>
          <w:sz w:val="20"/>
          <w:szCs w:val="20"/>
        </w:rPr>
        <w:t xml:space="preserve"> a</w:t>
      </w:r>
      <w:r w:rsidR="00FE542C">
        <w:rPr>
          <w:rFonts w:ascii="Arial" w:hAnsi="Arial" w:cs="Arial"/>
          <w:color w:val="000000"/>
          <w:sz w:val="20"/>
          <w:szCs w:val="20"/>
        </w:rPr>
        <w:t> </w:t>
      </w:r>
      <w:r w:rsidR="00E844BD">
        <w:rPr>
          <w:rFonts w:ascii="Arial" w:hAnsi="Arial" w:cs="Arial"/>
          <w:color w:val="000000"/>
          <w:sz w:val="20"/>
          <w:szCs w:val="20"/>
        </w:rPr>
        <w:t>Finska</w:t>
      </w:r>
      <w:r w:rsidR="00A25E58">
        <w:rPr>
          <w:rFonts w:ascii="Arial" w:hAnsi="Arial" w:cs="Arial"/>
          <w:color w:val="000000"/>
          <w:sz w:val="20"/>
          <w:szCs w:val="20"/>
        </w:rPr>
        <w:t xml:space="preserve">, </w:t>
      </w:r>
      <w:r w:rsidR="005A4685" w:rsidRPr="005A4685">
        <w:rPr>
          <w:rFonts w:ascii="Arial" w:hAnsi="Arial" w:cs="Arial"/>
          <w:color w:val="000000"/>
          <w:sz w:val="20"/>
          <w:szCs w:val="20"/>
        </w:rPr>
        <w:t xml:space="preserve">s cílem nejen </w:t>
      </w:r>
      <w:r w:rsidR="005A4685" w:rsidRPr="00F65A07">
        <w:rPr>
          <w:rFonts w:ascii="Arial" w:hAnsi="Arial" w:cs="Arial"/>
          <w:b/>
          <w:bCs/>
          <w:color w:val="000000"/>
          <w:sz w:val="20"/>
          <w:szCs w:val="20"/>
        </w:rPr>
        <w:t>prodiskutovat budoucí výzvy pro politiku soudržnosti</w:t>
      </w:r>
      <w:r w:rsidR="005A4685" w:rsidRPr="005A4685">
        <w:rPr>
          <w:rFonts w:ascii="Arial" w:hAnsi="Arial" w:cs="Arial"/>
          <w:color w:val="000000"/>
          <w:sz w:val="20"/>
          <w:szCs w:val="20"/>
        </w:rPr>
        <w:t xml:space="preserve">, ale rovněž </w:t>
      </w:r>
      <w:r w:rsidR="005A4685" w:rsidRPr="00F65A07">
        <w:rPr>
          <w:rFonts w:ascii="Arial" w:hAnsi="Arial" w:cs="Arial"/>
          <w:b/>
          <w:bCs/>
          <w:color w:val="000000"/>
          <w:sz w:val="20"/>
          <w:szCs w:val="20"/>
        </w:rPr>
        <w:t>se inspirovat pro budoucnost, kdy ČR též postupně pře</w:t>
      </w:r>
      <w:r w:rsidR="00EE3BBA">
        <w:rPr>
          <w:rFonts w:ascii="Arial" w:hAnsi="Arial" w:cs="Arial"/>
          <w:b/>
          <w:bCs/>
          <w:color w:val="000000"/>
          <w:sz w:val="20"/>
          <w:szCs w:val="20"/>
        </w:rPr>
        <w:t>jde</w:t>
      </w:r>
      <w:r w:rsidR="005A4685" w:rsidRPr="00F65A0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E3BBA">
        <w:rPr>
          <w:rFonts w:ascii="Arial" w:hAnsi="Arial" w:cs="Arial"/>
          <w:b/>
          <w:bCs/>
          <w:color w:val="000000"/>
          <w:sz w:val="20"/>
          <w:szCs w:val="20"/>
        </w:rPr>
        <w:t>na</w:t>
      </w:r>
      <w:r w:rsidR="005A4685" w:rsidRPr="00F65A07">
        <w:rPr>
          <w:rFonts w:ascii="Arial" w:hAnsi="Arial" w:cs="Arial"/>
          <w:b/>
          <w:bCs/>
          <w:color w:val="000000"/>
          <w:sz w:val="20"/>
          <w:szCs w:val="20"/>
        </w:rPr>
        <w:t xml:space="preserve"> pozic</w:t>
      </w:r>
      <w:r w:rsidR="00EE3BBA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5A4685" w:rsidRPr="00F65A07">
        <w:rPr>
          <w:rFonts w:ascii="Arial" w:hAnsi="Arial" w:cs="Arial"/>
          <w:b/>
          <w:bCs/>
          <w:color w:val="000000"/>
          <w:sz w:val="20"/>
          <w:szCs w:val="20"/>
        </w:rPr>
        <w:t xml:space="preserve"> čistého plátce</w:t>
      </w:r>
      <w:r w:rsidR="005A4685" w:rsidRPr="005A4685">
        <w:rPr>
          <w:rFonts w:ascii="Arial" w:hAnsi="Arial" w:cs="Arial"/>
          <w:color w:val="000000"/>
          <w:sz w:val="20"/>
          <w:szCs w:val="20"/>
        </w:rPr>
        <w:t xml:space="preserve"> a bude muset více využívat EU zdroje mimo </w:t>
      </w:r>
      <w:r w:rsidR="00187ABA">
        <w:rPr>
          <w:rFonts w:ascii="Arial" w:hAnsi="Arial" w:cs="Arial"/>
          <w:color w:val="000000"/>
          <w:sz w:val="20"/>
          <w:szCs w:val="20"/>
        </w:rPr>
        <w:t>politiku soudržnosti</w:t>
      </w:r>
      <w:r w:rsidRPr="00941712">
        <w:rPr>
          <w:rFonts w:ascii="Arial" w:hAnsi="Arial" w:cs="Arial"/>
          <w:color w:val="000000"/>
          <w:sz w:val="20"/>
          <w:szCs w:val="20"/>
        </w:rPr>
        <w:t>.</w:t>
      </w:r>
      <w:r w:rsidRPr="000200FA">
        <w:t xml:space="preserve"> </w:t>
      </w:r>
      <w:r w:rsidR="00C26BCB" w:rsidRPr="00663769">
        <w:rPr>
          <w:rFonts w:ascii="Arial" w:hAnsi="Arial" w:cs="Arial"/>
          <w:color w:val="000000"/>
          <w:sz w:val="20"/>
          <w:szCs w:val="20"/>
        </w:rPr>
        <w:t>Mezi účastníky p</w:t>
      </w:r>
      <w:r w:rsidR="00C26BCB" w:rsidRPr="00D06EE4">
        <w:rPr>
          <w:rFonts w:ascii="Arial" w:hAnsi="Arial" w:cs="Arial"/>
          <w:color w:val="000000"/>
          <w:sz w:val="20"/>
          <w:szCs w:val="20"/>
        </w:rPr>
        <w:t>anovala</w:t>
      </w:r>
      <w:r w:rsidR="00564A12" w:rsidRPr="00D06EE4">
        <w:rPr>
          <w:rFonts w:ascii="Arial" w:hAnsi="Arial" w:cs="Arial"/>
          <w:color w:val="000000"/>
          <w:sz w:val="20"/>
          <w:szCs w:val="20"/>
        </w:rPr>
        <w:t xml:space="preserve"> shoda nad</w:t>
      </w:r>
      <w:r w:rsidR="00564A12">
        <w:t xml:space="preserve"> 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>zachování</w:t>
      </w:r>
      <w:r w:rsidR="00564A12">
        <w:rPr>
          <w:rFonts w:ascii="Arial" w:hAnsi="Arial" w:cs="Arial"/>
          <w:color w:val="000000"/>
          <w:sz w:val="20"/>
          <w:szCs w:val="20"/>
        </w:rPr>
        <w:t>m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 xml:space="preserve"> základních principů politiky soudržnosti</w:t>
      </w:r>
      <w:r w:rsidR="00C930F5">
        <w:rPr>
          <w:rFonts w:ascii="Arial" w:hAnsi="Arial" w:cs="Arial"/>
          <w:color w:val="000000"/>
          <w:sz w:val="20"/>
          <w:szCs w:val="20"/>
        </w:rPr>
        <w:t>,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 xml:space="preserve"> uplatňování</w:t>
      </w:r>
      <w:r w:rsidR="00564A12">
        <w:rPr>
          <w:rFonts w:ascii="Arial" w:hAnsi="Arial" w:cs="Arial"/>
          <w:color w:val="000000"/>
          <w:sz w:val="20"/>
          <w:szCs w:val="20"/>
        </w:rPr>
        <w:t>m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 xml:space="preserve"> místně orientovaného přístupu</w:t>
      </w:r>
      <w:r w:rsidR="00C930F5">
        <w:rPr>
          <w:rFonts w:ascii="Arial" w:hAnsi="Arial" w:cs="Arial"/>
          <w:color w:val="000000"/>
          <w:sz w:val="20"/>
          <w:szCs w:val="20"/>
        </w:rPr>
        <w:t xml:space="preserve"> </w:t>
      </w:r>
      <w:r w:rsidR="00371642">
        <w:rPr>
          <w:rFonts w:ascii="Arial" w:hAnsi="Arial" w:cs="Arial"/>
          <w:color w:val="000000"/>
          <w:sz w:val="20"/>
          <w:szCs w:val="20"/>
        </w:rPr>
        <w:t>či zachování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 xml:space="preserve"> princip</w:t>
      </w:r>
      <w:r w:rsidR="00371642">
        <w:rPr>
          <w:rFonts w:ascii="Arial" w:hAnsi="Arial" w:cs="Arial"/>
          <w:color w:val="000000"/>
          <w:sz w:val="20"/>
          <w:szCs w:val="20"/>
        </w:rPr>
        <w:t>u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 xml:space="preserve"> partnerství</w:t>
      </w:r>
      <w:r w:rsidR="00285654">
        <w:rPr>
          <w:rFonts w:ascii="Arial" w:hAnsi="Arial" w:cs="Arial"/>
          <w:color w:val="000000"/>
          <w:sz w:val="20"/>
          <w:szCs w:val="20"/>
        </w:rPr>
        <w:t xml:space="preserve"> a 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>horizontálních základních podmínek na ochranu právního státu</w:t>
      </w:r>
      <w:r w:rsidR="00285654">
        <w:rPr>
          <w:rFonts w:ascii="Arial" w:hAnsi="Arial" w:cs="Arial"/>
          <w:color w:val="000000"/>
          <w:sz w:val="20"/>
          <w:szCs w:val="20"/>
        </w:rPr>
        <w:t xml:space="preserve">. </w:t>
      </w:r>
      <w:r w:rsidR="00097C10">
        <w:rPr>
          <w:rFonts w:ascii="Arial" w:hAnsi="Arial" w:cs="Arial"/>
          <w:color w:val="000000"/>
          <w:sz w:val="20"/>
          <w:szCs w:val="20"/>
        </w:rPr>
        <w:t xml:space="preserve">Neshoda se projevila </w:t>
      </w:r>
      <w:r w:rsidR="00640071">
        <w:rPr>
          <w:rFonts w:ascii="Arial" w:hAnsi="Arial" w:cs="Arial"/>
          <w:color w:val="000000"/>
          <w:sz w:val="20"/>
          <w:szCs w:val="20"/>
        </w:rPr>
        <w:t>např. v otázce</w:t>
      </w:r>
      <w:r w:rsidR="00437CEC">
        <w:rPr>
          <w:rFonts w:ascii="Arial" w:hAnsi="Arial" w:cs="Arial"/>
          <w:color w:val="000000"/>
          <w:sz w:val="20"/>
          <w:szCs w:val="20"/>
        </w:rPr>
        <w:t xml:space="preserve"> podpory regi</w:t>
      </w:r>
      <w:r w:rsidR="002D72F3">
        <w:rPr>
          <w:rFonts w:ascii="Arial" w:hAnsi="Arial" w:cs="Arial"/>
          <w:color w:val="000000"/>
          <w:sz w:val="20"/>
          <w:szCs w:val="20"/>
        </w:rPr>
        <w:t>o</w:t>
      </w:r>
      <w:r w:rsidR="00437CEC">
        <w:rPr>
          <w:rFonts w:ascii="Arial" w:hAnsi="Arial" w:cs="Arial"/>
          <w:color w:val="000000"/>
          <w:sz w:val="20"/>
          <w:szCs w:val="20"/>
        </w:rPr>
        <w:t>nů, kdy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 xml:space="preserve"> </w:t>
      </w:r>
      <w:r w:rsidR="00640071">
        <w:rPr>
          <w:rFonts w:ascii="Arial" w:hAnsi="Arial" w:cs="Arial"/>
          <w:color w:val="000000"/>
          <w:sz w:val="20"/>
          <w:szCs w:val="20"/>
        </w:rPr>
        <w:t>tyto</w:t>
      </w:r>
      <w:r w:rsidR="000200FA" w:rsidRPr="000200FA">
        <w:rPr>
          <w:rFonts w:ascii="Arial" w:hAnsi="Arial" w:cs="Arial"/>
          <w:color w:val="000000"/>
          <w:sz w:val="20"/>
          <w:szCs w:val="20"/>
        </w:rPr>
        <w:t xml:space="preserve"> státy preferují cílení výhradně na méně rozvinuté oblast</w:t>
      </w:r>
      <w:r w:rsidR="002D72F3">
        <w:rPr>
          <w:rFonts w:ascii="Arial" w:hAnsi="Arial" w:cs="Arial"/>
          <w:color w:val="000000"/>
          <w:sz w:val="20"/>
          <w:szCs w:val="20"/>
        </w:rPr>
        <w:t>i.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</w:t>
      </w:r>
      <w:r w:rsidR="00640071">
        <w:rPr>
          <w:rFonts w:ascii="Arial" w:hAnsi="Arial" w:cs="Arial"/>
          <w:color w:val="000000"/>
          <w:sz w:val="20"/>
          <w:szCs w:val="20"/>
        </w:rPr>
        <w:t xml:space="preserve">Rovněž tak </w:t>
      </w:r>
      <w:r w:rsidR="00D568B0">
        <w:rPr>
          <w:rFonts w:ascii="Arial" w:hAnsi="Arial" w:cs="Arial"/>
          <w:color w:val="000000"/>
          <w:sz w:val="20"/>
          <w:szCs w:val="20"/>
        </w:rPr>
        <w:t xml:space="preserve">je z jejich pohledu klíčové využívat zdroje fondů EU zejména na EU priority </w:t>
      </w:r>
      <w:r w:rsidR="00DB0455">
        <w:rPr>
          <w:rFonts w:ascii="Arial" w:hAnsi="Arial" w:cs="Arial"/>
          <w:color w:val="000000"/>
          <w:sz w:val="20"/>
          <w:szCs w:val="20"/>
        </w:rPr>
        <w:t>(zelená a digitální tranzice).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C0A7D86" w14:textId="18D6A038" w:rsidR="00BD03ED" w:rsidRDefault="00E95A8A" w:rsidP="00C401CA">
      <w:pPr>
        <w:pStyle w:val="Normlnweb"/>
        <w:keepLines/>
        <w:spacing w:before="0" w:beforeAutospacing="0" w:after="240" w:afterAutospacing="0" w:line="259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Dne </w:t>
      </w:r>
      <w:r w:rsidRPr="00E95A8A">
        <w:rPr>
          <w:rFonts w:ascii="Arial" w:hAnsi="Arial" w:cs="Arial"/>
          <w:b/>
          <w:bCs/>
          <w:color w:val="000000"/>
          <w:sz w:val="20"/>
          <w:szCs w:val="20"/>
        </w:rPr>
        <w:t>16. dubna 2025</w:t>
      </w:r>
      <w:r w:rsidR="00BD03ED" w:rsidRPr="00941712">
        <w:rPr>
          <w:rFonts w:ascii="Arial" w:hAnsi="Arial" w:cs="Arial"/>
          <w:b/>
          <w:bCs/>
          <w:color w:val="000000"/>
          <w:sz w:val="20"/>
          <w:szCs w:val="20"/>
        </w:rPr>
        <w:t xml:space="preserve"> se uskuteční kulatý stůl k budoucnosti politiky soudržnosti</w:t>
      </w:r>
      <w:r w:rsidR="00BD03ED" w:rsidRPr="00941712">
        <w:rPr>
          <w:rFonts w:ascii="Arial" w:hAnsi="Arial" w:cs="Arial"/>
          <w:color w:val="000000"/>
          <w:sz w:val="20"/>
          <w:szCs w:val="20"/>
        </w:rPr>
        <w:t>, kterého se zúčastní i zástupci evropských institucí</w:t>
      </w:r>
      <w:r w:rsidR="000B55AA">
        <w:rPr>
          <w:rFonts w:ascii="Arial" w:hAnsi="Arial" w:cs="Arial"/>
          <w:color w:val="000000"/>
          <w:sz w:val="20"/>
          <w:szCs w:val="20"/>
        </w:rPr>
        <w:t>.</w:t>
      </w:r>
      <w:r w:rsidR="00BD03ED" w:rsidRPr="00941712">
        <w:rPr>
          <w:rFonts w:ascii="Arial" w:hAnsi="Arial" w:cs="Arial"/>
          <w:color w:val="000000"/>
          <w:sz w:val="20"/>
          <w:szCs w:val="20"/>
        </w:rPr>
        <w:t xml:space="preserve"> </w:t>
      </w:r>
      <w:r w:rsidR="0021138A">
        <w:rPr>
          <w:rFonts w:ascii="Arial" w:hAnsi="Arial" w:cs="Arial"/>
          <w:color w:val="000000"/>
          <w:sz w:val="20"/>
          <w:szCs w:val="20"/>
        </w:rPr>
        <w:t xml:space="preserve">Akce </w:t>
      </w:r>
      <w:r w:rsidR="00D91677">
        <w:rPr>
          <w:rFonts w:ascii="Arial" w:hAnsi="Arial" w:cs="Arial"/>
          <w:color w:val="000000"/>
          <w:sz w:val="20"/>
          <w:szCs w:val="20"/>
        </w:rPr>
        <w:t>bude</w:t>
      </w:r>
      <w:r w:rsidR="0021138A">
        <w:rPr>
          <w:rFonts w:ascii="Arial" w:hAnsi="Arial" w:cs="Arial"/>
          <w:color w:val="000000"/>
          <w:sz w:val="20"/>
          <w:szCs w:val="20"/>
        </w:rPr>
        <w:t xml:space="preserve"> věnována diskuzi </w:t>
      </w:r>
      <w:r w:rsidR="003F0A76" w:rsidRPr="003F0A76">
        <w:rPr>
          <w:rFonts w:ascii="Arial" w:hAnsi="Arial" w:cs="Arial"/>
          <w:color w:val="000000"/>
          <w:sz w:val="20"/>
          <w:szCs w:val="20"/>
        </w:rPr>
        <w:t xml:space="preserve">nad výzvami a klíčovými trendy formujícími budoucí rozpočet EU a </w:t>
      </w:r>
      <w:r w:rsidR="004F070E">
        <w:rPr>
          <w:rFonts w:ascii="Arial" w:hAnsi="Arial" w:cs="Arial"/>
          <w:color w:val="000000"/>
          <w:sz w:val="20"/>
          <w:szCs w:val="20"/>
        </w:rPr>
        <w:t>politiku soudržnosti</w:t>
      </w:r>
      <w:r w:rsidR="003F0A76" w:rsidRPr="003F0A76">
        <w:rPr>
          <w:rFonts w:ascii="Arial" w:hAnsi="Arial" w:cs="Arial"/>
          <w:color w:val="000000"/>
          <w:sz w:val="20"/>
          <w:szCs w:val="20"/>
        </w:rPr>
        <w:t xml:space="preserve"> v nadcházejícím programovém období. </w:t>
      </w:r>
      <w:r w:rsidR="004F070E">
        <w:rPr>
          <w:rFonts w:ascii="Arial" w:hAnsi="Arial" w:cs="Arial"/>
          <w:color w:val="000000"/>
          <w:sz w:val="20"/>
          <w:szCs w:val="20"/>
        </w:rPr>
        <w:t>Současně</w:t>
      </w:r>
      <w:r w:rsidR="003F0A76" w:rsidRPr="003F0A76">
        <w:rPr>
          <w:rFonts w:ascii="Arial" w:hAnsi="Arial" w:cs="Arial"/>
          <w:color w:val="000000"/>
          <w:sz w:val="20"/>
          <w:szCs w:val="20"/>
        </w:rPr>
        <w:t xml:space="preserve"> se zaměří na efektivní využití evropských fondů a </w:t>
      </w:r>
      <w:r w:rsidR="00B405BE">
        <w:rPr>
          <w:rFonts w:ascii="Arial" w:hAnsi="Arial" w:cs="Arial"/>
          <w:color w:val="000000"/>
          <w:sz w:val="20"/>
          <w:szCs w:val="20"/>
        </w:rPr>
        <w:t>jejich budoucí směřování</w:t>
      </w:r>
      <w:r w:rsidR="003F0A76" w:rsidRPr="003F0A76">
        <w:rPr>
          <w:rFonts w:ascii="Arial" w:hAnsi="Arial" w:cs="Arial"/>
          <w:color w:val="000000"/>
          <w:sz w:val="20"/>
          <w:szCs w:val="20"/>
        </w:rPr>
        <w:t xml:space="preserve"> v</w:t>
      </w:r>
      <w:r w:rsidR="00354B4B">
        <w:rPr>
          <w:rFonts w:ascii="Arial" w:hAnsi="Arial" w:cs="Arial"/>
          <w:color w:val="000000"/>
          <w:sz w:val="20"/>
          <w:szCs w:val="20"/>
        </w:rPr>
        <w:t> </w:t>
      </w:r>
      <w:r w:rsidR="003F0A76" w:rsidRPr="003F0A76">
        <w:rPr>
          <w:rFonts w:ascii="Arial" w:hAnsi="Arial" w:cs="Arial"/>
          <w:color w:val="000000"/>
          <w:sz w:val="20"/>
          <w:szCs w:val="20"/>
        </w:rPr>
        <w:t>ČR</w:t>
      </w:r>
      <w:r w:rsidR="00354B4B">
        <w:rPr>
          <w:rFonts w:ascii="Arial" w:hAnsi="Arial" w:cs="Arial"/>
          <w:color w:val="000000"/>
          <w:sz w:val="20"/>
          <w:szCs w:val="20"/>
        </w:rPr>
        <w:t>.</w:t>
      </w:r>
    </w:p>
    <w:p w14:paraId="397E756A" w14:textId="1C16980D" w:rsidR="00BD03ED" w:rsidRPr="00941712" w:rsidRDefault="00BD03ED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41712">
        <w:rPr>
          <w:rFonts w:ascii="Arial" w:hAnsi="Arial" w:cs="Arial"/>
          <w:color w:val="000000"/>
          <w:sz w:val="20"/>
          <w:szCs w:val="20"/>
        </w:rPr>
        <w:t xml:space="preserve">V návaznosti na mandát ÚV začalo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MMR připravovat strategický rámec po roce 28+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, tedy návrh věcných priorit. V současné době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probíhají bilaterální jednání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 jak s resorty, tak </w:t>
      </w:r>
      <w:r w:rsidR="00C25630">
        <w:rPr>
          <w:rFonts w:ascii="Arial" w:hAnsi="Arial" w:cs="Arial"/>
          <w:color w:val="000000"/>
          <w:sz w:val="20"/>
          <w:szCs w:val="20"/>
        </w:rPr>
        <w:t xml:space="preserve">s </w:t>
      </w:r>
      <w:r w:rsidRPr="00941712">
        <w:rPr>
          <w:rFonts w:ascii="Arial" w:hAnsi="Arial" w:cs="Arial"/>
          <w:color w:val="000000"/>
          <w:sz w:val="20"/>
          <w:szCs w:val="20"/>
        </w:rPr>
        <w:t>územními partnery s</w:t>
      </w:r>
      <w:r w:rsidR="00C25630">
        <w:rPr>
          <w:rFonts w:ascii="Arial" w:hAnsi="Arial" w:cs="Arial"/>
          <w:color w:val="000000"/>
          <w:sz w:val="20"/>
          <w:szCs w:val="20"/>
        </w:rPr>
        <w:t> </w:t>
      </w:r>
      <w:r w:rsidRPr="00941712">
        <w:rPr>
          <w:rFonts w:ascii="Arial" w:hAnsi="Arial" w:cs="Arial"/>
          <w:color w:val="000000"/>
          <w:sz w:val="20"/>
          <w:szCs w:val="20"/>
        </w:rPr>
        <w:t>cílem probrat strategické priority všech partnerů. Paralelně probíhá jednání na expertní úrovni a</w:t>
      </w:r>
      <w:r w:rsidR="00D45202">
        <w:rPr>
          <w:rFonts w:ascii="Arial" w:hAnsi="Arial" w:cs="Arial"/>
          <w:color w:val="000000"/>
          <w:sz w:val="20"/>
          <w:szCs w:val="20"/>
        </w:rPr>
        <w:t> 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výstupy </w:t>
      </w:r>
      <w:r w:rsidR="00061071">
        <w:rPr>
          <w:rFonts w:ascii="Arial" w:hAnsi="Arial" w:cs="Arial"/>
          <w:color w:val="000000"/>
          <w:sz w:val="20"/>
          <w:szCs w:val="20"/>
        </w:rPr>
        <w:t>byly</w:t>
      </w:r>
      <w:r w:rsidR="00061071" w:rsidRPr="00941712">
        <w:rPr>
          <w:rFonts w:ascii="Arial" w:hAnsi="Arial" w:cs="Arial"/>
          <w:color w:val="000000"/>
          <w:sz w:val="20"/>
          <w:szCs w:val="20"/>
        </w:rPr>
        <w:t xml:space="preserve"> představ</w:t>
      </w:r>
      <w:r w:rsidR="00061071">
        <w:rPr>
          <w:rFonts w:ascii="Arial" w:hAnsi="Arial" w:cs="Arial"/>
          <w:color w:val="000000"/>
          <w:sz w:val="20"/>
          <w:szCs w:val="20"/>
        </w:rPr>
        <w:t>e</w:t>
      </w:r>
      <w:r w:rsidR="00061071" w:rsidRPr="00941712">
        <w:rPr>
          <w:rFonts w:ascii="Arial" w:hAnsi="Arial" w:cs="Arial"/>
          <w:color w:val="000000"/>
          <w:sz w:val="20"/>
          <w:szCs w:val="20"/>
        </w:rPr>
        <w:t xml:space="preserve">ny 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a diskutovány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na rozšířeném jednání P-Rady</w:t>
      </w:r>
      <w:r w:rsidR="006D64F5">
        <w:rPr>
          <w:rFonts w:ascii="Arial" w:hAnsi="Arial" w:cs="Arial"/>
          <w:b/>
          <w:bCs/>
          <w:color w:val="000000"/>
          <w:sz w:val="20"/>
          <w:szCs w:val="20"/>
        </w:rPr>
        <w:t xml:space="preserve"> dne 19. března 2025</w:t>
      </w:r>
      <w:r w:rsidRPr="00941712">
        <w:rPr>
          <w:rFonts w:ascii="Arial" w:hAnsi="Arial" w:cs="Arial"/>
          <w:color w:val="000000"/>
          <w:sz w:val="20"/>
          <w:szCs w:val="20"/>
        </w:rPr>
        <w:t xml:space="preserve">. Téma strategických priorit bude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též součástí již zmíněného kulatého stolu k PS 28+.</w:t>
      </w:r>
    </w:p>
    <w:p w14:paraId="53842D48" w14:textId="7C14A693" w:rsidR="00A717FA" w:rsidRPr="007323FC" w:rsidRDefault="00BD03ED" w:rsidP="00284381">
      <w:pPr>
        <w:pStyle w:val="Normlnweb"/>
        <w:spacing w:before="0" w:beforeAutospacing="0" w:after="240" w:afterAutospacing="0" w:line="259" w:lineRule="auto"/>
        <w:jc w:val="both"/>
        <w:rPr>
          <w:rFonts w:ascii="Arial" w:eastAsia="Arial" w:hAnsi="Arial" w:cs="Arial"/>
          <w:sz w:val="16"/>
          <w:szCs w:val="16"/>
        </w:rPr>
      </w:pPr>
      <w:r w:rsidRPr="00941712">
        <w:rPr>
          <w:rFonts w:ascii="Arial" w:hAnsi="Arial" w:cs="Arial"/>
          <w:color w:val="000000"/>
          <w:sz w:val="20"/>
          <w:szCs w:val="20"/>
        </w:rPr>
        <w:t xml:space="preserve">Materiál ke strategickému rámci musí být </w:t>
      </w:r>
      <w:r w:rsidRPr="00941712">
        <w:rPr>
          <w:rFonts w:ascii="Arial" w:hAnsi="Arial" w:cs="Arial"/>
          <w:b/>
          <w:bCs/>
          <w:color w:val="000000"/>
          <w:sz w:val="20"/>
          <w:szCs w:val="20"/>
        </w:rPr>
        <w:t>předložen do konce června 2025</w:t>
      </w:r>
      <w:r w:rsidRPr="00941712">
        <w:rPr>
          <w:rFonts w:ascii="Arial" w:hAnsi="Arial" w:cs="Arial"/>
          <w:color w:val="000000"/>
          <w:sz w:val="20"/>
          <w:szCs w:val="20"/>
        </w:rPr>
        <w:t>, proto bude od cca půlky května probíhat připomínkové řízení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A717FA" w:rsidRPr="007323FC" w:rsidSect="006470E3">
      <w:footerReference w:type="first" r:id="rId11"/>
      <w:pgSz w:w="11906" w:h="16838"/>
      <w:pgMar w:top="1440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BC4D5" w14:textId="77777777" w:rsidR="006470E3" w:rsidRDefault="006470E3" w:rsidP="006470E3">
      <w:pPr>
        <w:spacing w:after="0" w:line="240" w:lineRule="auto"/>
      </w:pPr>
      <w:r>
        <w:separator/>
      </w:r>
    </w:p>
  </w:endnote>
  <w:endnote w:type="continuationSeparator" w:id="0">
    <w:p w14:paraId="58BDBD40" w14:textId="77777777" w:rsidR="006470E3" w:rsidRDefault="006470E3" w:rsidP="0064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C610" w14:textId="2B3D59E4" w:rsidR="006470E3" w:rsidRDefault="00B474C2">
    <w:pPr>
      <w:pStyle w:val="Zpat"/>
    </w:pPr>
    <w:r w:rsidRPr="00B474C2">
      <w:rPr>
        <w:rFonts w:ascii="Arial" w:eastAsia="Calibri" w:hAnsi="Arial" w:cs="Arial"/>
        <w:noProof/>
        <w:sz w:val="20"/>
        <w:lang w:eastAsia="cs-CZ"/>
      </w:rPr>
      <w:drawing>
        <wp:inline distT="0" distB="0" distL="0" distR="0" wp14:anchorId="34A5F6D3" wp14:editId="5DFAC601">
          <wp:extent cx="5731510" cy="371475"/>
          <wp:effectExtent l="0" t="0" r="2540" b="9525"/>
          <wp:docPr id="4" name="Obrázek 3">
            <a:extLst xmlns:a="http://schemas.openxmlformats.org/drawingml/2006/main">
              <a:ext uri="{FF2B5EF4-FFF2-40B4-BE49-F238E27FC236}">
                <a16:creationId xmlns:a16="http://schemas.microsoft.com/office/drawing/2014/main" id="{E9D8CB38-4CE9-C944-5174-2742996E6C6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E9D8CB38-4CE9-C944-5174-2742996E6C6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474C2">
      <w:rPr>
        <w:rFonts w:ascii="Arial" w:eastAsia="Calibri" w:hAnsi="Arial" w:cs="Arial"/>
        <w:noProof/>
        <w:sz w:val="20"/>
        <w:lang w:eastAsia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D7CDF" w14:textId="77777777" w:rsidR="006470E3" w:rsidRDefault="006470E3" w:rsidP="006470E3">
      <w:pPr>
        <w:spacing w:after="0" w:line="240" w:lineRule="auto"/>
      </w:pPr>
      <w:r>
        <w:separator/>
      </w:r>
    </w:p>
  </w:footnote>
  <w:footnote w:type="continuationSeparator" w:id="0">
    <w:p w14:paraId="1406DE4B" w14:textId="77777777" w:rsidR="006470E3" w:rsidRDefault="006470E3" w:rsidP="00647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A3748"/>
    <w:multiLevelType w:val="multilevel"/>
    <w:tmpl w:val="1656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AC171F"/>
    <w:multiLevelType w:val="hybridMultilevel"/>
    <w:tmpl w:val="8B1E86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37A18"/>
    <w:multiLevelType w:val="hybridMultilevel"/>
    <w:tmpl w:val="2B9EC404"/>
    <w:lvl w:ilvl="0" w:tplc="67DCD0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C5200"/>
    <w:multiLevelType w:val="hybridMultilevel"/>
    <w:tmpl w:val="27B820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219F2"/>
    <w:multiLevelType w:val="multilevel"/>
    <w:tmpl w:val="24147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A9506C"/>
    <w:multiLevelType w:val="hybridMultilevel"/>
    <w:tmpl w:val="20FCCB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165CC1"/>
    <w:multiLevelType w:val="multilevel"/>
    <w:tmpl w:val="50F6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2532F"/>
    <w:multiLevelType w:val="hybridMultilevel"/>
    <w:tmpl w:val="ED6CE5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F972D7"/>
    <w:multiLevelType w:val="hybridMultilevel"/>
    <w:tmpl w:val="CFFEB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777E7"/>
    <w:multiLevelType w:val="multilevel"/>
    <w:tmpl w:val="5F5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9B31CFA"/>
    <w:multiLevelType w:val="hybridMultilevel"/>
    <w:tmpl w:val="DD6C33B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F566C"/>
    <w:multiLevelType w:val="hybridMultilevel"/>
    <w:tmpl w:val="6DC6C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23567"/>
    <w:multiLevelType w:val="hybridMultilevel"/>
    <w:tmpl w:val="16BEF670"/>
    <w:lvl w:ilvl="0" w:tplc="63AA02F6">
      <w:start w:val="1"/>
      <w:numFmt w:val="decimal"/>
      <w:lvlText w:val="%1."/>
      <w:lvlJc w:val="left"/>
      <w:pPr>
        <w:ind w:left="1410" w:hanging="705"/>
      </w:pPr>
      <w:rPr>
        <w:color w:val="024DA1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5B43095"/>
    <w:multiLevelType w:val="multilevel"/>
    <w:tmpl w:val="E4F0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C61145"/>
    <w:multiLevelType w:val="hybridMultilevel"/>
    <w:tmpl w:val="6EC4DD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81B0B"/>
    <w:multiLevelType w:val="hybridMultilevel"/>
    <w:tmpl w:val="70A00B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C4FE6"/>
    <w:multiLevelType w:val="hybridMultilevel"/>
    <w:tmpl w:val="B00E9576"/>
    <w:lvl w:ilvl="0" w:tplc="6CEE49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70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AA1007"/>
    <w:multiLevelType w:val="multilevel"/>
    <w:tmpl w:val="FE2A4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79F5195"/>
    <w:multiLevelType w:val="hybridMultilevel"/>
    <w:tmpl w:val="05700EE2"/>
    <w:lvl w:ilvl="0" w:tplc="3F340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20D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884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299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B06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B48A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1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85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632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B4A10B9"/>
    <w:multiLevelType w:val="multilevel"/>
    <w:tmpl w:val="95E6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2C67AC"/>
    <w:multiLevelType w:val="multilevel"/>
    <w:tmpl w:val="10282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3482648"/>
    <w:multiLevelType w:val="multilevel"/>
    <w:tmpl w:val="FE2A4C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E2625ED"/>
    <w:multiLevelType w:val="hybridMultilevel"/>
    <w:tmpl w:val="8272B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5CD0"/>
    <w:multiLevelType w:val="multilevel"/>
    <w:tmpl w:val="A7B2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8152F35"/>
    <w:multiLevelType w:val="multilevel"/>
    <w:tmpl w:val="A5040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ABB446B"/>
    <w:multiLevelType w:val="hybridMultilevel"/>
    <w:tmpl w:val="FE70B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11B2C"/>
    <w:multiLevelType w:val="multilevel"/>
    <w:tmpl w:val="492C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AD5976"/>
    <w:multiLevelType w:val="hybridMultilevel"/>
    <w:tmpl w:val="8C1689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7309E"/>
    <w:multiLevelType w:val="multilevel"/>
    <w:tmpl w:val="BE6E2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1A93B45"/>
    <w:multiLevelType w:val="hybridMultilevel"/>
    <w:tmpl w:val="3CEA286E"/>
    <w:lvl w:ilvl="0" w:tplc="831412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60773A"/>
    <w:multiLevelType w:val="hybridMultilevel"/>
    <w:tmpl w:val="597074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E330B2"/>
    <w:multiLevelType w:val="hybridMultilevel"/>
    <w:tmpl w:val="318E7028"/>
    <w:lvl w:ilvl="0" w:tplc="040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663625041">
    <w:abstractNumId w:val="22"/>
  </w:num>
  <w:num w:numId="2" w16cid:durableId="2097315256">
    <w:abstractNumId w:val="10"/>
  </w:num>
  <w:num w:numId="3" w16cid:durableId="1628583397">
    <w:abstractNumId w:val="1"/>
  </w:num>
  <w:num w:numId="4" w16cid:durableId="1403331660">
    <w:abstractNumId w:val="5"/>
  </w:num>
  <w:num w:numId="5" w16cid:durableId="699010786">
    <w:abstractNumId w:val="25"/>
  </w:num>
  <w:num w:numId="6" w16cid:durableId="2017343763">
    <w:abstractNumId w:val="16"/>
  </w:num>
  <w:num w:numId="7" w16cid:durableId="510264403">
    <w:abstractNumId w:val="2"/>
  </w:num>
  <w:num w:numId="8" w16cid:durableId="277445312">
    <w:abstractNumId w:val="7"/>
  </w:num>
  <w:num w:numId="9" w16cid:durableId="980693634">
    <w:abstractNumId w:val="14"/>
  </w:num>
  <w:num w:numId="10" w16cid:durableId="1418089895">
    <w:abstractNumId w:val="30"/>
  </w:num>
  <w:num w:numId="11" w16cid:durableId="859441071">
    <w:abstractNumId w:val="31"/>
  </w:num>
  <w:num w:numId="12" w16cid:durableId="582960055">
    <w:abstractNumId w:val="18"/>
  </w:num>
  <w:num w:numId="13" w16cid:durableId="924539003">
    <w:abstractNumId w:val="27"/>
  </w:num>
  <w:num w:numId="14" w16cid:durableId="2019499671">
    <w:abstractNumId w:val="11"/>
  </w:num>
  <w:num w:numId="15" w16cid:durableId="1537083753">
    <w:abstractNumId w:val="8"/>
  </w:num>
  <w:num w:numId="16" w16cid:durableId="13733109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5396760">
    <w:abstractNumId w:val="29"/>
  </w:num>
  <w:num w:numId="18" w16cid:durableId="1662198437">
    <w:abstractNumId w:val="0"/>
  </w:num>
  <w:num w:numId="19" w16cid:durableId="1409690759">
    <w:abstractNumId w:val="26"/>
  </w:num>
  <w:num w:numId="20" w16cid:durableId="932125898">
    <w:abstractNumId w:val="19"/>
  </w:num>
  <w:num w:numId="21" w16cid:durableId="1955408126">
    <w:abstractNumId w:val="24"/>
  </w:num>
  <w:num w:numId="22" w16cid:durableId="418450399">
    <w:abstractNumId w:val="23"/>
  </w:num>
  <w:num w:numId="23" w16cid:durableId="59064656">
    <w:abstractNumId w:val="28"/>
  </w:num>
  <w:num w:numId="24" w16cid:durableId="1075517843">
    <w:abstractNumId w:val="4"/>
  </w:num>
  <w:num w:numId="25" w16cid:durableId="498230597">
    <w:abstractNumId w:val="9"/>
  </w:num>
  <w:num w:numId="26" w16cid:durableId="1917595465">
    <w:abstractNumId w:val="13"/>
  </w:num>
  <w:num w:numId="27" w16cid:durableId="836723955">
    <w:abstractNumId w:val="20"/>
  </w:num>
  <w:num w:numId="28" w16cid:durableId="274406847">
    <w:abstractNumId w:val="6"/>
  </w:num>
  <w:num w:numId="29" w16cid:durableId="1351371629">
    <w:abstractNumId w:val="17"/>
  </w:num>
  <w:num w:numId="30" w16cid:durableId="818497196">
    <w:abstractNumId w:val="3"/>
  </w:num>
  <w:num w:numId="31" w16cid:durableId="1476026924">
    <w:abstractNumId w:val="15"/>
  </w:num>
  <w:num w:numId="32" w16cid:durableId="14811182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1A378A"/>
    <w:rsid w:val="00001A16"/>
    <w:rsid w:val="000057B6"/>
    <w:rsid w:val="00006918"/>
    <w:rsid w:val="0001018D"/>
    <w:rsid w:val="00011F28"/>
    <w:rsid w:val="000149C6"/>
    <w:rsid w:val="000200FA"/>
    <w:rsid w:val="00026941"/>
    <w:rsid w:val="00026AC4"/>
    <w:rsid w:val="00030BE6"/>
    <w:rsid w:val="00031FC4"/>
    <w:rsid w:val="0003735E"/>
    <w:rsid w:val="000454CF"/>
    <w:rsid w:val="00046263"/>
    <w:rsid w:val="00047E33"/>
    <w:rsid w:val="000503AE"/>
    <w:rsid w:val="000565CA"/>
    <w:rsid w:val="00057FE6"/>
    <w:rsid w:val="00061071"/>
    <w:rsid w:val="00067932"/>
    <w:rsid w:val="00071843"/>
    <w:rsid w:val="00073101"/>
    <w:rsid w:val="00083E9D"/>
    <w:rsid w:val="000868C5"/>
    <w:rsid w:val="000873C2"/>
    <w:rsid w:val="00087B93"/>
    <w:rsid w:val="00087CCF"/>
    <w:rsid w:val="000914F4"/>
    <w:rsid w:val="00091E3C"/>
    <w:rsid w:val="00097C10"/>
    <w:rsid w:val="000A1B9B"/>
    <w:rsid w:val="000B1A19"/>
    <w:rsid w:val="000B3B55"/>
    <w:rsid w:val="000B402E"/>
    <w:rsid w:val="000B55AA"/>
    <w:rsid w:val="000C49DB"/>
    <w:rsid w:val="000C6DAD"/>
    <w:rsid w:val="000D2652"/>
    <w:rsid w:val="000D41FF"/>
    <w:rsid w:val="000D515F"/>
    <w:rsid w:val="000D7CDA"/>
    <w:rsid w:val="000E1349"/>
    <w:rsid w:val="000E16AC"/>
    <w:rsid w:val="000E1D40"/>
    <w:rsid w:val="000E33F2"/>
    <w:rsid w:val="000E6550"/>
    <w:rsid w:val="000E69B0"/>
    <w:rsid w:val="0011699B"/>
    <w:rsid w:val="00121679"/>
    <w:rsid w:val="001217CF"/>
    <w:rsid w:val="00123932"/>
    <w:rsid w:val="00125E50"/>
    <w:rsid w:val="001323EF"/>
    <w:rsid w:val="00132A9B"/>
    <w:rsid w:val="001378CD"/>
    <w:rsid w:val="00137C9A"/>
    <w:rsid w:val="00156376"/>
    <w:rsid w:val="001617E2"/>
    <w:rsid w:val="00161C8D"/>
    <w:rsid w:val="001646F0"/>
    <w:rsid w:val="001678F0"/>
    <w:rsid w:val="001709CD"/>
    <w:rsid w:val="00171C85"/>
    <w:rsid w:val="00177280"/>
    <w:rsid w:val="001824AE"/>
    <w:rsid w:val="001872AB"/>
    <w:rsid w:val="00187ABA"/>
    <w:rsid w:val="001A2616"/>
    <w:rsid w:val="001A6B95"/>
    <w:rsid w:val="001B00CC"/>
    <w:rsid w:val="001B1EE4"/>
    <w:rsid w:val="001B35F4"/>
    <w:rsid w:val="001B416F"/>
    <w:rsid w:val="001B5E04"/>
    <w:rsid w:val="001B7097"/>
    <w:rsid w:val="001C1C5C"/>
    <w:rsid w:val="001C3928"/>
    <w:rsid w:val="001C3D2F"/>
    <w:rsid w:val="001D303D"/>
    <w:rsid w:val="001D4612"/>
    <w:rsid w:val="001E16CB"/>
    <w:rsid w:val="001E23BA"/>
    <w:rsid w:val="001E3182"/>
    <w:rsid w:val="001E72BF"/>
    <w:rsid w:val="001F63D3"/>
    <w:rsid w:val="001F6A59"/>
    <w:rsid w:val="00200DFC"/>
    <w:rsid w:val="00203E7F"/>
    <w:rsid w:val="0021138A"/>
    <w:rsid w:val="002126B3"/>
    <w:rsid w:val="002159EC"/>
    <w:rsid w:val="00220818"/>
    <w:rsid w:val="00221AAC"/>
    <w:rsid w:val="00231DF3"/>
    <w:rsid w:val="00231F11"/>
    <w:rsid w:val="00233482"/>
    <w:rsid w:val="00234100"/>
    <w:rsid w:val="00235C7B"/>
    <w:rsid w:val="00243CE7"/>
    <w:rsid w:val="002447AE"/>
    <w:rsid w:val="0025279D"/>
    <w:rsid w:val="00256BAE"/>
    <w:rsid w:val="00260870"/>
    <w:rsid w:val="0026604E"/>
    <w:rsid w:val="0027301B"/>
    <w:rsid w:val="00280BDE"/>
    <w:rsid w:val="00280D3C"/>
    <w:rsid w:val="00282CF5"/>
    <w:rsid w:val="00282EBF"/>
    <w:rsid w:val="00284381"/>
    <w:rsid w:val="00285654"/>
    <w:rsid w:val="00290214"/>
    <w:rsid w:val="00297297"/>
    <w:rsid w:val="002A08CC"/>
    <w:rsid w:val="002A3DDE"/>
    <w:rsid w:val="002B2F97"/>
    <w:rsid w:val="002B3C73"/>
    <w:rsid w:val="002B7544"/>
    <w:rsid w:val="002C23A1"/>
    <w:rsid w:val="002C31D3"/>
    <w:rsid w:val="002D05D9"/>
    <w:rsid w:val="002D1BB7"/>
    <w:rsid w:val="002D72F3"/>
    <w:rsid w:val="002F081D"/>
    <w:rsid w:val="0030122F"/>
    <w:rsid w:val="003073E3"/>
    <w:rsid w:val="0031736A"/>
    <w:rsid w:val="003212D2"/>
    <w:rsid w:val="00326F45"/>
    <w:rsid w:val="00335F6C"/>
    <w:rsid w:val="003378C5"/>
    <w:rsid w:val="0034114A"/>
    <w:rsid w:val="0034327B"/>
    <w:rsid w:val="0034464D"/>
    <w:rsid w:val="00344A48"/>
    <w:rsid w:val="00344E4E"/>
    <w:rsid w:val="00347BF5"/>
    <w:rsid w:val="0035272D"/>
    <w:rsid w:val="003528B4"/>
    <w:rsid w:val="00354B4B"/>
    <w:rsid w:val="00357872"/>
    <w:rsid w:val="00364E64"/>
    <w:rsid w:val="00367318"/>
    <w:rsid w:val="00367927"/>
    <w:rsid w:val="00370DC4"/>
    <w:rsid w:val="00371642"/>
    <w:rsid w:val="00371B02"/>
    <w:rsid w:val="003771DA"/>
    <w:rsid w:val="003A04D3"/>
    <w:rsid w:val="003A0AF5"/>
    <w:rsid w:val="003A6710"/>
    <w:rsid w:val="003A7142"/>
    <w:rsid w:val="003B5A73"/>
    <w:rsid w:val="003C1F2A"/>
    <w:rsid w:val="003C4DE3"/>
    <w:rsid w:val="003D5E35"/>
    <w:rsid w:val="003D629E"/>
    <w:rsid w:val="003D682E"/>
    <w:rsid w:val="003F0A76"/>
    <w:rsid w:val="003F16FC"/>
    <w:rsid w:val="003F1B48"/>
    <w:rsid w:val="003F523E"/>
    <w:rsid w:val="0040046A"/>
    <w:rsid w:val="00405372"/>
    <w:rsid w:val="00405E8C"/>
    <w:rsid w:val="0041363C"/>
    <w:rsid w:val="0041625E"/>
    <w:rsid w:val="004168B5"/>
    <w:rsid w:val="00420325"/>
    <w:rsid w:val="0042321D"/>
    <w:rsid w:val="00423B18"/>
    <w:rsid w:val="004242C0"/>
    <w:rsid w:val="00426C68"/>
    <w:rsid w:val="00427632"/>
    <w:rsid w:val="004358DE"/>
    <w:rsid w:val="00437CEC"/>
    <w:rsid w:val="0044041C"/>
    <w:rsid w:val="004418F5"/>
    <w:rsid w:val="00443BBD"/>
    <w:rsid w:val="00445E6F"/>
    <w:rsid w:val="004528EC"/>
    <w:rsid w:val="0045419D"/>
    <w:rsid w:val="004574D0"/>
    <w:rsid w:val="00461795"/>
    <w:rsid w:val="00464B03"/>
    <w:rsid w:val="00467E9B"/>
    <w:rsid w:val="00470950"/>
    <w:rsid w:val="004739D2"/>
    <w:rsid w:val="00483E45"/>
    <w:rsid w:val="00484C3D"/>
    <w:rsid w:val="00490878"/>
    <w:rsid w:val="00491A92"/>
    <w:rsid w:val="00496EEC"/>
    <w:rsid w:val="004A2FB3"/>
    <w:rsid w:val="004A66ED"/>
    <w:rsid w:val="004B0BD4"/>
    <w:rsid w:val="004B27D0"/>
    <w:rsid w:val="004C16BE"/>
    <w:rsid w:val="004D13C0"/>
    <w:rsid w:val="004D4B2A"/>
    <w:rsid w:val="004D56A4"/>
    <w:rsid w:val="004F070E"/>
    <w:rsid w:val="004F303D"/>
    <w:rsid w:val="005075FE"/>
    <w:rsid w:val="00511926"/>
    <w:rsid w:val="00512F20"/>
    <w:rsid w:val="00514BD2"/>
    <w:rsid w:val="00517DE8"/>
    <w:rsid w:val="00535DCA"/>
    <w:rsid w:val="00541253"/>
    <w:rsid w:val="0054147D"/>
    <w:rsid w:val="00544294"/>
    <w:rsid w:val="00553E11"/>
    <w:rsid w:val="00557E92"/>
    <w:rsid w:val="00561AFD"/>
    <w:rsid w:val="005632B8"/>
    <w:rsid w:val="00564A12"/>
    <w:rsid w:val="005766EF"/>
    <w:rsid w:val="00580788"/>
    <w:rsid w:val="005822EB"/>
    <w:rsid w:val="00584AF6"/>
    <w:rsid w:val="00586132"/>
    <w:rsid w:val="00586EC7"/>
    <w:rsid w:val="00591670"/>
    <w:rsid w:val="00591B7E"/>
    <w:rsid w:val="00593159"/>
    <w:rsid w:val="0059579D"/>
    <w:rsid w:val="00595B11"/>
    <w:rsid w:val="005A05B6"/>
    <w:rsid w:val="005A4685"/>
    <w:rsid w:val="005A65EC"/>
    <w:rsid w:val="005B0717"/>
    <w:rsid w:val="005B25DE"/>
    <w:rsid w:val="005B3D0A"/>
    <w:rsid w:val="005B7279"/>
    <w:rsid w:val="005C03C2"/>
    <w:rsid w:val="005C1681"/>
    <w:rsid w:val="005C6581"/>
    <w:rsid w:val="005D175F"/>
    <w:rsid w:val="005D7313"/>
    <w:rsid w:val="005E22F8"/>
    <w:rsid w:val="005F2D5D"/>
    <w:rsid w:val="005F48DB"/>
    <w:rsid w:val="005F4B92"/>
    <w:rsid w:val="005F7190"/>
    <w:rsid w:val="006000C6"/>
    <w:rsid w:val="006005AC"/>
    <w:rsid w:val="00601E25"/>
    <w:rsid w:val="0060283F"/>
    <w:rsid w:val="00603612"/>
    <w:rsid w:val="0060576C"/>
    <w:rsid w:val="00606179"/>
    <w:rsid w:val="006110B0"/>
    <w:rsid w:val="00613F3C"/>
    <w:rsid w:val="00623D00"/>
    <w:rsid w:val="006275F5"/>
    <w:rsid w:val="0063195A"/>
    <w:rsid w:val="00632B71"/>
    <w:rsid w:val="0063632D"/>
    <w:rsid w:val="00640071"/>
    <w:rsid w:val="00640228"/>
    <w:rsid w:val="00642F08"/>
    <w:rsid w:val="006470E3"/>
    <w:rsid w:val="00650D44"/>
    <w:rsid w:val="00656860"/>
    <w:rsid w:val="006568FD"/>
    <w:rsid w:val="00660AEB"/>
    <w:rsid w:val="0066121F"/>
    <w:rsid w:val="00662CC3"/>
    <w:rsid w:val="00663769"/>
    <w:rsid w:val="0066624C"/>
    <w:rsid w:val="00673AFD"/>
    <w:rsid w:val="00674EC4"/>
    <w:rsid w:val="00676E46"/>
    <w:rsid w:val="00683779"/>
    <w:rsid w:val="00684B71"/>
    <w:rsid w:val="00691C3B"/>
    <w:rsid w:val="006936C0"/>
    <w:rsid w:val="0069776E"/>
    <w:rsid w:val="006A20A5"/>
    <w:rsid w:val="006A3A24"/>
    <w:rsid w:val="006B6B5C"/>
    <w:rsid w:val="006C38C1"/>
    <w:rsid w:val="006C3D07"/>
    <w:rsid w:val="006D004D"/>
    <w:rsid w:val="006D5F4A"/>
    <w:rsid w:val="006D64F5"/>
    <w:rsid w:val="006E4E9B"/>
    <w:rsid w:val="006F6D95"/>
    <w:rsid w:val="006F7917"/>
    <w:rsid w:val="007004FD"/>
    <w:rsid w:val="00702D57"/>
    <w:rsid w:val="0070555B"/>
    <w:rsid w:val="0071036C"/>
    <w:rsid w:val="007141B5"/>
    <w:rsid w:val="007207BB"/>
    <w:rsid w:val="00721B2B"/>
    <w:rsid w:val="0072697B"/>
    <w:rsid w:val="00731B6F"/>
    <w:rsid w:val="007323FC"/>
    <w:rsid w:val="00741DA3"/>
    <w:rsid w:val="0074312B"/>
    <w:rsid w:val="00743BB5"/>
    <w:rsid w:val="007449DC"/>
    <w:rsid w:val="007475B9"/>
    <w:rsid w:val="0077609F"/>
    <w:rsid w:val="00786DB9"/>
    <w:rsid w:val="00790F6E"/>
    <w:rsid w:val="00795084"/>
    <w:rsid w:val="007A2400"/>
    <w:rsid w:val="007A3DBE"/>
    <w:rsid w:val="007A4917"/>
    <w:rsid w:val="007B21F4"/>
    <w:rsid w:val="007B381D"/>
    <w:rsid w:val="007B61D2"/>
    <w:rsid w:val="007B668B"/>
    <w:rsid w:val="007B7035"/>
    <w:rsid w:val="007C1A99"/>
    <w:rsid w:val="007C22B4"/>
    <w:rsid w:val="007C7853"/>
    <w:rsid w:val="007D25EB"/>
    <w:rsid w:val="007D41C5"/>
    <w:rsid w:val="007D5EF5"/>
    <w:rsid w:val="007E3CE5"/>
    <w:rsid w:val="007F2452"/>
    <w:rsid w:val="007F2D8D"/>
    <w:rsid w:val="008027BA"/>
    <w:rsid w:val="0080320C"/>
    <w:rsid w:val="008061F2"/>
    <w:rsid w:val="00812B1F"/>
    <w:rsid w:val="00814393"/>
    <w:rsid w:val="00820733"/>
    <w:rsid w:val="0082209B"/>
    <w:rsid w:val="00822AC0"/>
    <w:rsid w:val="00824B56"/>
    <w:rsid w:val="00827B51"/>
    <w:rsid w:val="0083693A"/>
    <w:rsid w:val="00837508"/>
    <w:rsid w:val="008375E6"/>
    <w:rsid w:val="008507BD"/>
    <w:rsid w:val="00855DA6"/>
    <w:rsid w:val="00857E57"/>
    <w:rsid w:val="00860088"/>
    <w:rsid w:val="00863B4F"/>
    <w:rsid w:val="00864901"/>
    <w:rsid w:val="00867FD2"/>
    <w:rsid w:val="0087077D"/>
    <w:rsid w:val="00873AEA"/>
    <w:rsid w:val="00874ED9"/>
    <w:rsid w:val="00881390"/>
    <w:rsid w:val="008849CB"/>
    <w:rsid w:val="00892F85"/>
    <w:rsid w:val="008A701F"/>
    <w:rsid w:val="008B133F"/>
    <w:rsid w:val="008B151C"/>
    <w:rsid w:val="008B4FF5"/>
    <w:rsid w:val="008B5462"/>
    <w:rsid w:val="008C118A"/>
    <w:rsid w:val="008C3B97"/>
    <w:rsid w:val="008C4098"/>
    <w:rsid w:val="008C5CA7"/>
    <w:rsid w:val="008D2EE6"/>
    <w:rsid w:val="008E443D"/>
    <w:rsid w:val="008E45AE"/>
    <w:rsid w:val="008E5D6F"/>
    <w:rsid w:val="008E77D9"/>
    <w:rsid w:val="008F111E"/>
    <w:rsid w:val="008F12F6"/>
    <w:rsid w:val="008F3EE8"/>
    <w:rsid w:val="008F40BA"/>
    <w:rsid w:val="008F6BDC"/>
    <w:rsid w:val="0090097E"/>
    <w:rsid w:val="0090152F"/>
    <w:rsid w:val="00902D0C"/>
    <w:rsid w:val="00903D48"/>
    <w:rsid w:val="00910563"/>
    <w:rsid w:val="0091145F"/>
    <w:rsid w:val="009117D3"/>
    <w:rsid w:val="00921FAD"/>
    <w:rsid w:val="00922A8A"/>
    <w:rsid w:val="009302B4"/>
    <w:rsid w:val="009326F5"/>
    <w:rsid w:val="009350E6"/>
    <w:rsid w:val="009351E3"/>
    <w:rsid w:val="00937A6C"/>
    <w:rsid w:val="0094357C"/>
    <w:rsid w:val="00943D9A"/>
    <w:rsid w:val="00943E0E"/>
    <w:rsid w:val="00954E51"/>
    <w:rsid w:val="00961CB5"/>
    <w:rsid w:val="00961CC2"/>
    <w:rsid w:val="00965CCB"/>
    <w:rsid w:val="0096749D"/>
    <w:rsid w:val="009727D9"/>
    <w:rsid w:val="00975981"/>
    <w:rsid w:val="009841CB"/>
    <w:rsid w:val="00984999"/>
    <w:rsid w:val="009874A6"/>
    <w:rsid w:val="00991588"/>
    <w:rsid w:val="009917AC"/>
    <w:rsid w:val="00991C5F"/>
    <w:rsid w:val="00994725"/>
    <w:rsid w:val="00997F19"/>
    <w:rsid w:val="009A1E49"/>
    <w:rsid w:val="009A43E0"/>
    <w:rsid w:val="009A472D"/>
    <w:rsid w:val="009D38ED"/>
    <w:rsid w:val="009D3B51"/>
    <w:rsid w:val="009E1611"/>
    <w:rsid w:val="009E17D3"/>
    <w:rsid w:val="009E313D"/>
    <w:rsid w:val="009E432D"/>
    <w:rsid w:val="009F04CF"/>
    <w:rsid w:val="009F1337"/>
    <w:rsid w:val="009F1E31"/>
    <w:rsid w:val="009F4DE2"/>
    <w:rsid w:val="009F5891"/>
    <w:rsid w:val="00A039E8"/>
    <w:rsid w:val="00A11C20"/>
    <w:rsid w:val="00A1695B"/>
    <w:rsid w:val="00A231C3"/>
    <w:rsid w:val="00A24CCE"/>
    <w:rsid w:val="00A2589B"/>
    <w:rsid w:val="00A25E58"/>
    <w:rsid w:val="00A27823"/>
    <w:rsid w:val="00A27A8C"/>
    <w:rsid w:val="00A3383E"/>
    <w:rsid w:val="00A415F9"/>
    <w:rsid w:val="00A43586"/>
    <w:rsid w:val="00A44658"/>
    <w:rsid w:val="00A45250"/>
    <w:rsid w:val="00A46586"/>
    <w:rsid w:val="00A47F10"/>
    <w:rsid w:val="00A7063D"/>
    <w:rsid w:val="00A717FA"/>
    <w:rsid w:val="00A72B04"/>
    <w:rsid w:val="00A73278"/>
    <w:rsid w:val="00A754AA"/>
    <w:rsid w:val="00A76398"/>
    <w:rsid w:val="00A76568"/>
    <w:rsid w:val="00A76AAD"/>
    <w:rsid w:val="00A8333B"/>
    <w:rsid w:val="00A84630"/>
    <w:rsid w:val="00A92C06"/>
    <w:rsid w:val="00AA291B"/>
    <w:rsid w:val="00AA321C"/>
    <w:rsid w:val="00AA4B13"/>
    <w:rsid w:val="00AA7DAE"/>
    <w:rsid w:val="00AC187E"/>
    <w:rsid w:val="00AC2DF4"/>
    <w:rsid w:val="00AC48C5"/>
    <w:rsid w:val="00AD197D"/>
    <w:rsid w:val="00AD2BC2"/>
    <w:rsid w:val="00AD71B9"/>
    <w:rsid w:val="00AE00C7"/>
    <w:rsid w:val="00AE2A11"/>
    <w:rsid w:val="00AE5506"/>
    <w:rsid w:val="00AE6DDE"/>
    <w:rsid w:val="00AE7E13"/>
    <w:rsid w:val="00AF1373"/>
    <w:rsid w:val="00AF2B0B"/>
    <w:rsid w:val="00AF66C2"/>
    <w:rsid w:val="00AF6863"/>
    <w:rsid w:val="00B0086C"/>
    <w:rsid w:val="00B02DE9"/>
    <w:rsid w:val="00B04ED8"/>
    <w:rsid w:val="00B07C66"/>
    <w:rsid w:val="00B201C0"/>
    <w:rsid w:val="00B26165"/>
    <w:rsid w:val="00B32BA0"/>
    <w:rsid w:val="00B35954"/>
    <w:rsid w:val="00B35AA2"/>
    <w:rsid w:val="00B36487"/>
    <w:rsid w:val="00B405BE"/>
    <w:rsid w:val="00B474C2"/>
    <w:rsid w:val="00B511AA"/>
    <w:rsid w:val="00B6321A"/>
    <w:rsid w:val="00B634E0"/>
    <w:rsid w:val="00B63B50"/>
    <w:rsid w:val="00B709E1"/>
    <w:rsid w:val="00B76269"/>
    <w:rsid w:val="00B83AE7"/>
    <w:rsid w:val="00B91ABF"/>
    <w:rsid w:val="00B942CC"/>
    <w:rsid w:val="00B96C6A"/>
    <w:rsid w:val="00BA05D7"/>
    <w:rsid w:val="00BA1A39"/>
    <w:rsid w:val="00BA2BA2"/>
    <w:rsid w:val="00BA5EE8"/>
    <w:rsid w:val="00BB6C2C"/>
    <w:rsid w:val="00BB7DE1"/>
    <w:rsid w:val="00BC0B1A"/>
    <w:rsid w:val="00BC2A27"/>
    <w:rsid w:val="00BC2D07"/>
    <w:rsid w:val="00BC4041"/>
    <w:rsid w:val="00BC5FBA"/>
    <w:rsid w:val="00BC6925"/>
    <w:rsid w:val="00BD03ED"/>
    <w:rsid w:val="00BD0AC9"/>
    <w:rsid w:val="00BD251B"/>
    <w:rsid w:val="00BD2FBC"/>
    <w:rsid w:val="00BE633F"/>
    <w:rsid w:val="00BF14CC"/>
    <w:rsid w:val="00BF1743"/>
    <w:rsid w:val="00BF1A03"/>
    <w:rsid w:val="00BF694C"/>
    <w:rsid w:val="00C00D30"/>
    <w:rsid w:val="00C053B4"/>
    <w:rsid w:val="00C0549C"/>
    <w:rsid w:val="00C11E29"/>
    <w:rsid w:val="00C151EE"/>
    <w:rsid w:val="00C23B31"/>
    <w:rsid w:val="00C25630"/>
    <w:rsid w:val="00C25A47"/>
    <w:rsid w:val="00C26BCB"/>
    <w:rsid w:val="00C272DE"/>
    <w:rsid w:val="00C323A8"/>
    <w:rsid w:val="00C35E7A"/>
    <w:rsid w:val="00C401CA"/>
    <w:rsid w:val="00C431C5"/>
    <w:rsid w:val="00C50179"/>
    <w:rsid w:val="00C51208"/>
    <w:rsid w:val="00C542C3"/>
    <w:rsid w:val="00C604F3"/>
    <w:rsid w:val="00C62395"/>
    <w:rsid w:val="00C6259B"/>
    <w:rsid w:val="00C6544B"/>
    <w:rsid w:val="00C66420"/>
    <w:rsid w:val="00C67A2E"/>
    <w:rsid w:val="00C800A1"/>
    <w:rsid w:val="00C872C6"/>
    <w:rsid w:val="00C930F5"/>
    <w:rsid w:val="00C94E14"/>
    <w:rsid w:val="00CA3B3E"/>
    <w:rsid w:val="00CA5068"/>
    <w:rsid w:val="00CB1EA6"/>
    <w:rsid w:val="00CB2DE5"/>
    <w:rsid w:val="00CB4219"/>
    <w:rsid w:val="00CB69F8"/>
    <w:rsid w:val="00CC38DB"/>
    <w:rsid w:val="00CC408D"/>
    <w:rsid w:val="00CC40AE"/>
    <w:rsid w:val="00CC64EE"/>
    <w:rsid w:val="00CD6616"/>
    <w:rsid w:val="00CE0B09"/>
    <w:rsid w:val="00CE6DFD"/>
    <w:rsid w:val="00CF3926"/>
    <w:rsid w:val="00CF3A7F"/>
    <w:rsid w:val="00D02772"/>
    <w:rsid w:val="00D03DA2"/>
    <w:rsid w:val="00D047F3"/>
    <w:rsid w:val="00D05515"/>
    <w:rsid w:val="00D05DD8"/>
    <w:rsid w:val="00D06EE4"/>
    <w:rsid w:val="00D146FB"/>
    <w:rsid w:val="00D15720"/>
    <w:rsid w:val="00D1636F"/>
    <w:rsid w:val="00D17138"/>
    <w:rsid w:val="00D20852"/>
    <w:rsid w:val="00D23B1F"/>
    <w:rsid w:val="00D277D3"/>
    <w:rsid w:val="00D32C4C"/>
    <w:rsid w:val="00D33094"/>
    <w:rsid w:val="00D35330"/>
    <w:rsid w:val="00D35675"/>
    <w:rsid w:val="00D37F4D"/>
    <w:rsid w:val="00D447CE"/>
    <w:rsid w:val="00D45202"/>
    <w:rsid w:val="00D51368"/>
    <w:rsid w:val="00D51459"/>
    <w:rsid w:val="00D568B0"/>
    <w:rsid w:val="00D56A0D"/>
    <w:rsid w:val="00D652DD"/>
    <w:rsid w:val="00D661D0"/>
    <w:rsid w:val="00D66CF1"/>
    <w:rsid w:val="00D70C02"/>
    <w:rsid w:val="00D74202"/>
    <w:rsid w:val="00D77120"/>
    <w:rsid w:val="00D808CC"/>
    <w:rsid w:val="00D8365A"/>
    <w:rsid w:val="00D857A4"/>
    <w:rsid w:val="00D85E7A"/>
    <w:rsid w:val="00D907CB"/>
    <w:rsid w:val="00D91677"/>
    <w:rsid w:val="00D94283"/>
    <w:rsid w:val="00D944C8"/>
    <w:rsid w:val="00D949B7"/>
    <w:rsid w:val="00D95677"/>
    <w:rsid w:val="00D961B0"/>
    <w:rsid w:val="00D967A0"/>
    <w:rsid w:val="00DA0967"/>
    <w:rsid w:val="00DA15B4"/>
    <w:rsid w:val="00DA180E"/>
    <w:rsid w:val="00DA2AA5"/>
    <w:rsid w:val="00DA386A"/>
    <w:rsid w:val="00DA5901"/>
    <w:rsid w:val="00DB0455"/>
    <w:rsid w:val="00DB16B8"/>
    <w:rsid w:val="00DC1566"/>
    <w:rsid w:val="00DC2CD2"/>
    <w:rsid w:val="00DC4D64"/>
    <w:rsid w:val="00DD0778"/>
    <w:rsid w:val="00DD3973"/>
    <w:rsid w:val="00DD7F3E"/>
    <w:rsid w:val="00DE0D48"/>
    <w:rsid w:val="00DE2EFB"/>
    <w:rsid w:val="00DE3A91"/>
    <w:rsid w:val="00DE56F5"/>
    <w:rsid w:val="00DE79CF"/>
    <w:rsid w:val="00DF00B6"/>
    <w:rsid w:val="00DF01AA"/>
    <w:rsid w:val="00DF10CF"/>
    <w:rsid w:val="00DF6F20"/>
    <w:rsid w:val="00E03D2A"/>
    <w:rsid w:val="00E05811"/>
    <w:rsid w:val="00E25E3A"/>
    <w:rsid w:val="00E31B4D"/>
    <w:rsid w:val="00E41DC9"/>
    <w:rsid w:val="00E62733"/>
    <w:rsid w:val="00E6649B"/>
    <w:rsid w:val="00E70A1E"/>
    <w:rsid w:val="00E70EEF"/>
    <w:rsid w:val="00E72B01"/>
    <w:rsid w:val="00E72ED3"/>
    <w:rsid w:val="00E74D57"/>
    <w:rsid w:val="00E8033D"/>
    <w:rsid w:val="00E844BD"/>
    <w:rsid w:val="00E87085"/>
    <w:rsid w:val="00E90D4B"/>
    <w:rsid w:val="00E90DEF"/>
    <w:rsid w:val="00E925F6"/>
    <w:rsid w:val="00E95A8A"/>
    <w:rsid w:val="00E975E2"/>
    <w:rsid w:val="00E97907"/>
    <w:rsid w:val="00EA1E2A"/>
    <w:rsid w:val="00EA34CC"/>
    <w:rsid w:val="00EA5E95"/>
    <w:rsid w:val="00EA7D84"/>
    <w:rsid w:val="00EC4957"/>
    <w:rsid w:val="00ED7905"/>
    <w:rsid w:val="00EE01A8"/>
    <w:rsid w:val="00EE192A"/>
    <w:rsid w:val="00EE3BBA"/>
    <w:rsid w:val="00EE4427"/>
    <w:rsid w:val="00EF5364"/>
    <w:rsid w:val="00EF5B64"/>
    <w:rsid w:val="00EF5DDE"/>
    <w:rsid w:val="00F005DE"/>
    <w:rsid w:val="00F06FFA"/>
    <w:rsid w:val="00F130DD"/>
    <w:rsid w:val="00F14E4E"/>
    <w:rsid w:val="00F174CE"/>
    <w:rsid w:val="00F227BE"/>
    <w:rsid w:val="00F31D5C"/>
    <w:rsid w:val="00F426A8"/>
    <w:rsid w:val="00F51C60"/>
    <w:rsid w:val="00F60F3B"/>
    <w:rsid w:val="00F64C31"/>
    <w:rsid w:val="00F65A07"/>
    <w:rsid w:val="00F74D67"/>
    <w:rsid w:val="00F8310C"/>
    <w:rsid w:val="00F84CF9"/>
    <w:rsid w:val="00F91EA2"/>
    <w:rsid w:val="00F95FC8"/>
    <w:rsid w:val="00F975D2"/>
    <w:rsid w:val="00FA181B"/>
    <w:rsid w:val="00FA281C"/>
    <w:rsid w:val="00FA4788"/>
    <w:rsid w:val="00FA5E22"/>
    <w:rsid w:val="00FB1A46"/>
    <w:rsid w:val="00FB5E13"/>
    <w:rsid w:val="00FC1680"/>
    <w:rsid w:val="00FC2F5C"/>
    <w:rsid w:val="00FC7658"/>
    <w:rsid w:val="00FD0C13"/>
    <w:rsid w:val="00FD2C45"/>
    <w:rsid w:val="00FD6C8E"/>
    <w:rsid w:val="00FD74BC"/>
    <w:rsid w:val="00FE065E"/>
    <w:rsid w:val="00FE2982"/>
    <w:rsid w:val="00FE2BCE"/>
    <w:rsid w:val="00FE542C"/>
    <w:rsid w:val="00FE5E7D"/>
    <w:rsid w:val="00FE72B5"/>
    <w:rsid w:val="00FF0AC4"/>
    <w:rsid w:val="00FF3230"/>
    <w:rsid w:val="00FF5694"/>
    <w:rsid w:val="033C55A9"/>
    <w:rsid w:val="06633C59"/>
    <w:rsid w:val="0B3F1152"/>
    <w:rsid w:val="0BDD9BBA"/>
    <w:rsid w:val="0C1267D6"/>
    <w:rsid w:val="0CA23A4C"/>
    <w:rsid w:val="122EF677"/>
    <w:rsid w:val="146D45CB"/>
    <w:rsid w:val="15467E70"/>
    <w:rsid w:val="16383D9C"/>
    <w:rsid w:val="19A26C77"/>
    <w:rsid w:val="1B4CFB1A"/>
    <w:rsid w:val="1C853C39"/>
    <w:rsid w:val="1C9355EE"/>
    <w:rsid w:val="24C59DCD"/>
    <w:rsid w:val="25A081F1"/>
    <w:rsid w:val="25DFD27D"/>
    <w:rsid w:val="27C379E2"/>
    <w:rsid w:val="2AC90B0B"/>
    <w:rsid w:val="2C0624E3"/>
    <w:rsid w:val="2D4F560B"/>
    <w:rsid w:val="2D6E3FE4"/>
    <w:rsid w:val="2E698ABB"/>
    <w:rsid w:val="2FE837AB"/>
    <w:rsid w:val="30CB4E63"/>
    <w:rsid w:val="31947995"/>
    <w:rsid w:val="3374B740"/>
    <w:rsid w:val="350F4ADE"/>
    <w:rsid w:val="35826E3F"/>
    <w:rsid w:val="37EA92BC"/>
    <w:rsid w:val="3892D2FB"/>
    <w:rsid w:val="3904C76C"/>
    <w:rsid w:val="3D9B93CD"/>
    <w:rsid w:val="40E14145"/>
    <w:rsid w:val="45CCB2C8"/>
    <w:rsid w:val="461FF507"/>
    <w:rsid w:val="46202207"/>
    <w:rsid w:val="469F8BB6"/>
    <w:rsid w:val="47E2D9C1"/>
    <w:rsid w:val="499AC720"/>
    <w:rsid w:val="4BFC2761"/>
    <w:rsid w:val="4CB962EC"/>
    <w:rsid w:val="50F38B82"/>
    <w:rsid w:val="52802CDF"/>
    <w:rsid w:val="581A378A"/>
    <w:rsid w:val="5D4937B2"/>
    <w:rsid w:val="5EFD0969"/>
    <w:rsid w:val="5F116374"/>
    <w:rsid w:val="60F36B50"/>
    <w:rsid w:val="6E6C4DBF"/>
    <w:rsid w:val="70402241"/>
    <w:rsid w:val="7335E1F2"/>
    <w:rsid w:val="75440297"/>
    <w:rsid w:val="7F70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1A378A"/>
  <w15:chartTrackingRefBased/>
  <w15:docId w15:val="{7A686D1F-6728-4547-B21F-B3EBD3FF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0BDE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03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C38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38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38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38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38DB"/>
    <w:rPr>
      <w:b/>
      <w:bCs/>
      <w:sz w:val="20"/>
      <w:szCs w:val="20"/>
    </w:rPr>
  </w:style>
  <w:style w:type="paragraph" w:styleId="Odstavecseseznamem">
    <w:name w:val="List Paragraph"/>
    <w:aliases w:val="Nad,Odstavec cíl se seznamem,Odstavec se seznamem5,Conclusion de partie,Odstavec_muj,_Odstavec se seznamem,Seznam - odrážky,List Paragraph (Czech Tourism),Odstavec se seznamem2,Fiche List Paragraph,Název grafu,nad 1,L,3"/>
    <w:basedOn w:val="Normln"/>
    <w:link w:val="OdstavecseseznamemChar"/>
    <w:uiPriority w:val="34"/>
    <w:qFormat/>
    <w:rsid w:val="000565CA"/>
    <w:pPr>
      <w:ind w:left="720"/>
      <w:contextualSpacing/>
    </w:pPr>
  </w:style>
  <w:style w:type="paragraph" w:styleId="Revize">
    <w:name w:val="Revision"/>
    <w:hidden/>
    <w:uiPriority w:val="99"/>
    <w:semiHidden/>
    <w:rsid w:val="00FA478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4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788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Odstavec cíl se seznamem Char,Odstavec se seznamem5 Char,Conclusion de partie Char,Odstavec_muj Char,_Odstavec se seznamem Char,Seznam - odrážky Char,List Paragraph (Czech Tourism) Char,Odstavec se seznamem2 Char"/>
    <w:link w:val="Odstavecseseznamem"/>
    <w:uiPriority w:val="34"/>
    <w:qFormat/>
    <w:locked/>
    <w:rsid w:val="00FA4788"/>
  </w:style>
  <w:style w:type="paragraph" w:customStyle="1" w:styleId="Titulnstrana">
    <w:name w:val="Titulní strana"/>
    <w:basedOn w:val="Normln"/>
    <w:link w:val="TitulnstranaChar"/>
    <w:qFormat/>
    <w:rsid w:val="00B36487"/>
    <w:pPr>
      <w:spacing w:after="120" w:line="264" w:lineRule="auto"/>
      <w:jc w:val="center"/>
    </w:pPr>
    <w:rPr>
      <w:rFonts w:ascii="Arial" w:hAnsi="Arial" w:cs="Arial"/>
      <w:b/>
      <w:sz w:val="28"/>
      <w:lang w:eastAsia="cs-CZ"/>
    </w:rPr>
  </w:style>
  <w:style w:type="character" w:customStyle="1" w:styleId="TitulnstranaChar">
    <w:name w:val="Titulní strana Char"/>
    <w:basedOn w:val="Standardnpsmoodstavce"/>
    <w:link w:val="Titulnstrana"/>
    <w:rsid w:val="00B36487"/>
    <w:rPr>
      <w:rFonts w:ascii="Arial" w:hAnsi="Arial" w:cs="Arial"/>
      <w:b/>
      <w:sz w:val="28"/>
      <w:lang w:eastAsia="cs-CZ"/>
    </w:rPr>
  </w:style>
  <w:style w:type="character" w:customStyle="1" w:styleId="normaltextrun">
    <w:name w:val="normaltextrun"/>
    <w:basedOn w:val="Standardnpsmoodstavce"/>
    <w:rsid w:val="00DA386A"/>
  </w:style>
  <w:style w:type="character" w:styleId="Hypertextovodkaz">
    <w:name w:val="Hyperlink"/>
    <w:basedOn w:val="Standardnpsmoodstavce"/>
    <w:uiPriority w:val="99"/>
    <w:unhideWhenUsed/>
    <w:rsid w:val="003B5A73"/>
    <w:rPr>
      <w:color w:val="0563C1" w:themeColor="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3B5A7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D251B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D03ED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paragraph" w:styleId="Normlnweb">
    <w:name w:val="Normal (Web)"/>
    <w:basedOn w:val="Normln"/>
    <w:uiPriority w:val="99"/>
    <w:unhideWhenUsed/>
    <w:rsid w:val="00BD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0D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0D515F"/>
  </w:style>
  <w:style w:type="paragraph" w:styleId="Zhlav">
    <w:name w:val="header"/>
    <w:basedOn w:val="Normln"/>
    <w:link w:val="ZhlavChar"/>
    <w:uiPriority w:val="99"/>
    <w:unhideWhenUsed/>
    <w:rsid w:val="0064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70E3"/>
  </w:style>
  <w:style w:type="paragraph" w:styleId="Zpat">
    <w:name w:val="footer"/>
    <w:basedOn w:val="Normln"/>
    <w:link w:val="ZpatChar"/>
    <w:uiPriority w:val="99"/>
    <w:unhideWhenUsed/>
    <w:rsid w:val="0064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7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3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20F86CD88834C9DF4BF53A12661AE" ma:contentTypeVersion="16" ma:contentTypeDescription="Vytvoří nový dokument" ma:contentTypeScope="" ma:versionID="214b2d26d3a3ce41e462f3583b8a6f66">
  <xsd:schema xmlns:xsd="http://www.w3.org/2001/XMLSchema" xmlns:xs="http://www.w3.org/2001/XMLSchema" xmlns:p="http://schemas.microsoft.com/office/2006/metadata/properties" xmlns:ns2="a584bce1-3946-4d68-b90a-c37cc941a40f" xmlns:ns3="3cd1fcfc-948d-4fe3-9a25-2a8aa5575ef3" targetNamespace="http://schemas.microsoft.com/office/2006/metadata/properties" ma:root="true" ma:fieldsID="f4d5afb1f92e6a92b9a1ec5b3921de81" ns2:_="" ns3:_="">
    <xsd:import namespace="a584bce1-3946-4d68-b90a-c37cc941a40f"/>
    <xsd:import namespace="3cd1fcfc-948d-4fe3-9a25-2a8aa5575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84bce1-3946-4d68-b90a-c37cc941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1fcfc-948d-4fe3-9a25-2a8aa5575e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4e1f8e5-478c-4319-9fbc-1ca1f4672aa6}" ma:internalName="TaxCatchAll" ma:showField="CatchAllData" ma:web="3cd1fcfc-948d-4fe3-9a25-2a8aa5575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84bce1-3946-4d68-b90a-c37cc941a40f">
      <Terms xmlns="http://schemas.microsoft.com/office/infopath/2007/PartnerControls"/>
    </lcf76f155ced4ddcb4097134ff3c332f>
    <TaxCatchAll xmlns="3cd1fcfc-948d-4fe3-9a25-2a8aa5575ef3" xsi:nil="true"/>
  </documentManagement>
</p:properties>
</file>

<file path=customXml/itemProps1.xml><?xml version="1.0" encoding="utf-8"?>
<ds:datastoreItem xmlns:ds="http://schemas.openxmlformats.org/officeDocument/2006/customXml" ds:itemID="{71E5BCA4-BC96-4FEB-8F55-62D72E070C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700BFA-11EC-4543-90F5-A6F25ED56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F900C-5EEC-4218-9435-78F302CD8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84bce1-3946-4d68-b90a-c37cc941a40f"/>
    <ds:schemaRef ds:uri="3cd1fcfc-948d-4fe3-9a25-2a8aa557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1E5211-64A0-404A-B9CF-4E150816E704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3cd1fcfc-948d-4fe3-9a25-2a8aa5575ef3"/>
    <ds:schemaRef ds:uri="a584bce1-3946-4d68-b90a-c37cc941a40f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2043</Words>
  <Characters>12057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Adéla</dc:creator>
  <cp:keywords/>
  <dc:description/>
  <cp:lastModifiedBy>Kadečka David</cp:lastModifiedBy>
  <cp:revision>2</cp:revision>
  <dcterms:created xsi:type="dcterms:W3CDTF">2025-04-28T08:18:00Z</dcterms:created>
  <dcterms:modified xsi:type="dcterms:W3CDTF">2025-04-28T08:18:00Z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0x0101005CF20F86CD88834C9DF4BF53A12661AE</vt:lpwstr>
  </property>
  <property fmtid="{D5CDD505-2E9C-101B-9397-08002B2CF9AE}" pid="3" name="MediaServiceImageTags">
    <vt:lpwstr/>
  </property>
</Properties>
</file>